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2BD" w:rsidRDefault="004D6A10" w:rsidP="00167FFA">
      <w:pPr>
        <w:spacing w:line="600" w:lineRule="exact"/>
        <w:jc w:val="center"/>
        <w:outlineLvl w:val="0"/>
        <w:rPr>
          <w:rFonts w:ascii="华文中宋" w:eastAsia="华文中宋" w:hAnsi="华文中宋" w:cs="Arial"/>
          <w:bCs/>
          <w:sz w:val="44"/>
          <w:szCs w:val="44"/>
        </w:rPr>
      </w:pPr>
      <w:bookmarkStart w:id="0" w:name="_Toc18967"/>
      <w:bookmarkStart w:id="1" w:name="_Toc26014"/>
      <w:bookmarkStart w:id="2" w:name="_Toc20331"/>
      <w:bookmarkStart w:id="3" w:name="_Toc14291"/>
      <w:r w:rsidRPr="00167FFA">
        <w:rPr>
          <w:rFonts w:ascii="华文中宋" w:eastAsia="华文中宋" w:hAnsi="华文中宋" w:cs="Arial" w:hint="eastAsia"/>
          <w:bCs/>
          <w:sz w:val="44"/>
          <w:szCs w:val="44"/>
        </w:rPr>
        <w:t>甘肃省科学院2019年度省级预算</w:t>
      </w:r>
      <w:r w:rsidR="006A0403" w:rsidRPr="00167FFA">
        <w:rPr>
          <w:rFonts w:ascii="华文中宋" w:eastAsia="华文中宋" w:hAnsi="华文中宋" w:cs="Arial" w:hint="eastAsia"/>
          <w:bCs/>
          <w:sz w:val="44"/>
          <w:szCs w:val="44"/>
        </w:rPr>
        <w:t>项目</w:t>
      </w:r>
      <w:r w:rsidRPr="00167FFA">
        <w:rPr>
          <w:rFonts w:ascii="华文中宋" w:eastAsia="华文中宋" w:hAnsi="华文中宋" w:cs="Arial" w:hint="eastAsia"/>
          <w:bCs/>
          <w:sz w:val="44"/>
          <w:szCs w:val="44"/>
        </w:rPr>
        <w:t>执行情况</w:t>
      </w:r>
      <w:bookmarkStart w:id="4" w:name="_Toc23207"/>
      <w:bookmarkStart w:id="5" w:name="_Toc30991"/>
      <w:bookmarkStart w:id="6" w:name="_Toc15835"/>
      <w:bookmarkStart w:id="7" w:name="_Toc9500"/>
      <w:bookmarkEnd w:id="0"/>
      <w:bookmarkEnd w:id="1"/>
      <w:bookmarkEnd w:id="2"/>
      <w:bookmarkEnd w:id="3"/>
      <w:r w:rsidRPr="00167FFA">
        <w:rPr>
          <w:rFonts w:ascii="华文中宋" w:eastAsia="华文中宋" w:hAnsi="华文中宋" w:cs="Arial" w:hint="eastAsia"/>
          <w:bCs/>
          <w:sz w:val="44"/>
          <w:szCs w:val="44"/>
        </w:rPr>
        <w:t>绩效评价报告</w:t>
      </w:r>
      <w:bookmarkEnd w:id="4"/>
      <w:bookmarkEnd w:id="5"/>
      <w:bookmarkEnd w:id="6"/>
      <w:bookmarkEnd w:id="7"/>
    </w:p>
    <w:p w:rsidR="00167FFA" w:rsidRPr="00167FFA" w:rsidRDefault="00167FFA" w:rsidP="00167FFA">
      <w:pPr>
        <w:spacing w:line="600" w:lineRule="exact"/>
        <w:jc w:val="center"/>
        <w:outlineLvl w:val="0"/>
        <w:rPr>
          <w:rFonts w:ascii="华文中宋" w:eastAsia="华文中宋" w:hAnsi="华文中宋" w:cs="Arial"/>
          <w:bCs/>
          <w:sz w:val="44"/>
          <w:szCs w:val="44"/>
        </w:rPr>
      </w:pP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为推进财政预算绩效管理，提升财政资金使用效益，准确评价财政专项资金使用情况，根据《中共甘肃省委 甘肃省人民政府关于全面实施预算绩效管理的实施意见》（甘发〔2018〕32号）、《甘肃省财政厅关于开展2019年度省级预算执行情况绩效评价工作的通知》（甘财绩〔2020〕3号</w:t>
      </w:r>
      <w:r w:rsidR="00003238">
        <w:rPr>
          <w:rFonts w:ascii="仿宋" w:eastAsia="仿宋" w:hAnsi="仿宋" w:hint="eastAsia"/>
          <w:sz w:val="32"/>
          <w:szCs w:val="32"/>
        </w:rPr>
        <w:t>）、</w:t>
      </w:r>
      <w:r w:rsidR="00003238" w:rsidRPr="00003238">
        <w:rPr>
          <w:rFonts w:ascii="仿宋" w:eastAsia="仿宋" w:hAnsi="仿宋" w:hint="eastAsia"/>
          <w:sz w:val="32"/>
          <w:szCs w:val="32"/>
        </w:rPr>
        <w:t>《甘肃省财政厅关于进一步推动预算绩效管理强化项目库建设的通知》（甘财预[2020]24号</w:t>
      </w:r>
      <w:r w:rsidR="00003238" w:rsidRPr="00167FFA">
        <w:rPr>
          <w:rFonts w:ascii="仿宋" w:eastAsia="仿宋" w:hAnsi="仿宋" w:hint="eastAsia"/>
          <w:sz w:val="32"/>
          <w:szCs w:val="32"/>
        </w:rPr>
        <w:t>）</w:t>
      </w:r>
      <w:r w:rsidR="00003238" w:rsidRPr="00003238">
        <w:rPr>
          <w:rFonts w:ascii="仿宋" w:eastAsia="仿宋" w:hAnsi="仿宋" w:hint="eastAsia"/>
          <w:sz w:val="32"/>
          <w:szCs w:val="32"/>
        </w:rPr>
        <w:t>文件</w:t>
      </w:r>
      <w:r w:rsidRPr="00167FFA">
        <w:rPr>
          <w:rFonts w:ascii="仿宋" w:eastAsia="仿宋" w:hAnsi="仿宋" w:hint="eastAsia"/>
          <w:sz w:val="32"/>
          <w:szCs w:val="32"/>
        </w:rPr>
        <w:t>要求，2020年6月，受甘肃省科学院委托，甘肃省科学技术情报研究所对甘肃省科学院2019年度财政专项资金30%项目进行了绩效评价。</w:t>
      </w:r>
    </w:p>
    <w:p w:rsidR="005472BD" w:rsidRPr="00167FFA" w:rsidRDefault="004D6A10" w:rsidP="00003238">
      <w:pPr>
        <w:spacing w:beforeLines="50" w:afterLines="50" w:line="600" w:lineRule="exact"/>
        <w:ind w:firstLineChars="200" w:firstLine="640"/>
        <w:outlineLvl w:val="0"/>
        <w:rPr>
          <w:rFonts w:ascii="仿宋" w:eastAsia="仿宋" w:hAnsi="仿宋"/>
          <w:sz w:val="32"/>
          <w:szCs w:val="32"/>
        </w:rPr>
      </w:pPr>
      <w:bookmarkStart w:id="8" w:name="_Toc16883"/>
      <w:r w:rsidRPr="00167FFA">
        <w:rPr>
          <w:rFonts w:ascii="仿宋" w:eastAsia="仿宋" w:hAnsi="仿宋" w:hint="eastAsia"/>
          <w:sz w:val="32"/>
          <w:szCs w:val="32"/>
        </w:rPr>
        <w:t>一、基本情况</w:t>
      </w:r>
      <w:bookmarkEnd w:id="8"/>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9" w:name="_Toc22256"/>
      <w:r w:rsidRPr="00167FFA">
        <w:rPr>
          <w:rFonts w:ascii="仿宋" w:eastAsia="仿宋" w:hAnsi="仿宋" w:hint="eastAsia"/>
          <w:b/>
          <w:bCs/>
          <w:sz w:val="32"/>
          <w:szCs w:val="32"/>
        </w:rPr>
        <w:t>（一）项目概况</w:t>
      </w:r>
      <w:bookmarkEnd w:id="9"/>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w:t>
      </w:r>
      <w:r w:rsidRPr="00167FFA">
        <w:rPr>
          <w:rFonts w:ascii="仿宋" w:eastAsia="仿宋" w:hAnsi="仿宋" w:cs="华文楷体" w:hint="eastAsia"/>
          <w:b/>
          <w:bCs/>
          <w:snapToGrid w:val="0"/>
          <w:color w:val="0C0C0C"/>
          <w:kern w:val="0"/>
          <w:sz w:val="32"/>
          <w:szCs w:val="32"/>
        </w:rPr>
        <w:t>．</w:t>
      </w:r>
      <w:r w:rsidRPr="00167FFA">
        <w:rPr>
          <w:rFonts w:ascii="仿宋" w:eastAsia="仿宋" w:hAnsi="仿宋" w:cs="华文楷体" w:hint="eastAsia"/>
          <w:b/>
          <w:bCs/>
          <w:sz w:val="32"/>
          <w:szCs w:val="32"/>
        </w:rPr>
        <w:t>政策背景</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甘肃省科学院建院40多年来始终坚持立足甘肃实际，密切结合省情开展自然科学应用研究、地方经济综合性课题研究、高新技术及产品研发，为政府决策提供科学依据。建院以来，紧密围绕科研中心工作，不断探索和创新运行机制，坚持贯彻发展抓项目、改革抓创新、和谐抓民生、保证抓党建的工作思路，以科研为中心，以创新为灵魂，以项目为载体，以改革为动力，优化</w:t>
      </w:r>
      <w:r w:rsidRPr="00167FFA">
        <w:rPr>
          <w:rFonts w:ascii="仿宋" w:eastAsia="仿宋" w:hAnsi="仿宋" w:hint="eastAsia"/>
          <w:sz w:val="32"/>
          <w:szCs w:val="32"/>
        </w:rPr>
        <w:lastRenderedPageBreak/>
        <w:t>全院科技资源配置，扶持重点优势学科，加强内部创新体系建设，促进产学研全面发展。始终把自身优势学科及重点研究领域紧密结合地方国民经济建设，逐步形成了独特的科研领域和特色，在专业设置和布局上突出能源、生物、信息、生态及先进制造技术等国家优先发展的技术领域，并取得了重要成果。先后承担并完成了一批国家和省部级重点攻关项目以及国际合作项目，取得多项科研成果，为甘肃经济社会发展做出了贡献，受到省委、省政府历届领导肯定。</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为进一步强化甘肃省科学院科技创新能力，解决一批面向国家和省内外战略需求的前瞻性科学问题，培养造就一批优秀的基础研究工作者和科研团队，取得一批重要的原创性成果，甘肃省科学院从应用研发、人才引进与培养、高新技术产业化、科研基础能力建设等方面进行立项，以自主研发、合作创新等方式实施项目，实现重大突破。</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2．项目内容及实施情况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（1）项目总体情况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2019年度30%财政专项资金项目共计28个，支持资金1363.15万元。项目围绕应用研发、人才引进与培养、高新技术产业化、科研基础能力建设等方面，在农业、生物、信息技术、创新研究、生态环境等领域进行研究。</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（2）项目承担单位情况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lastRenderedPageBreak/>
        <w:t>项目承担单位科研管理制度完善、运行机制健全、组织保障有力，为项目顺利实施提供了坚实有力的保障。甘肃省科学院2019年度组织实施的28个项目共有7个下属研究所参加。其中，生物所承担项目最多，为8项，占28%；传感技术研究所承担项目5项，占18%；地质自然灾害防治研究所承担项目5项，占18%；实验工厂承担项目3项，占11%；自动化研究所承担项目3项，占11%；磁性器件研究所承担项目3项，占11%；后勤中心承担项目1项，占3%。</w:t>
      </w:r>
    </w:p>
    <w:p w:rsidR="005472BD" w:rsidRDefault="004D6A10">
      <w:pPr>
        <w:spacing w:line="600" w:lineRule="exact"/>
        <w:ind w:firstLineChars="200" w:firstLine="560"/>
        <w:jc w:val="center"/>
        <w:rPr>
          <w:sz w:val="28"/>
          <w:szCs w:val="22"/>
        </w:rPr>
      </w:pPr>
      <w:r>
        <w:rPr>
          <w:noProof/>
          <w:sz w:val="28"/>
          <w:szCs w:val="22"/>
        </w:rPr>
        <w:drawing>
          <wp:anchor distT="0" distB="0" distL="114300" distR="114300" simplePos="0" relativeHeight="251628032" behindDoc="0" locked="0" layoutInCell="1" allowOverlap="1">
            <wp:simplePos x="0" y="0"/>
            <wp:positionH relativeFrom="column">
              <wp:posOffset>122555</wp:posOffset>
            </wp:positionH>
            <wp:positionV relativeFrom="paragraph">
              <wp:posOffset>142875</wp:posOffset>
            </wp:positionV>
            <wp:extent cx="5631180" cy="2847340"/>
            <wp:effectExtent l="0" t="0" r="7620" b="10160"/>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sz w:val="28"/>
          <w:szCs w:val="22"/>
        </w:rPr>
        <w:t>图</w:t>
      </w:r>
      <w:r>
        <w:rPr>
          <w:rFonts w:hint="eastAsia"/>
          <w:sz w:val="28"/>
          <w:szCs w:val="22"/>
        </w:rPr>
        <w:t xml:space="preserve">1-1 </w:t>
      </w:r>
      <w:r>
        <w:rPr>
          <w:rFonts w:hint="eastAsia"/>
          <w:sz w:val="28"/>
          <w:szCs w:val="22"/>
        </w:rPr>
        <w:t>项目承担单位情况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（3）项目参与人员情况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在项目的组织实施过程中，聚集了一批高层次科研人才和专业化科技人才。项目参与人员的科研经验丰富，有较强的创新意识和服务能力，为项目实施提供了可靠的技术支持。2019年度甘肃省科学院30%预算项目共有328名人员参与实施，从学历结</w:t>
      </w:r>
      <w:r w:rsidRPr="00167FFA">
        <w:rPr>
          <w:rFonts w:ascii="仿宋" w:eastAsia="仿宋" w:hAnsi="仿宋" w:hint="eastAsia"/>
          <w:sz w:val="32"/>
          <w:szCs w:val="32"/>
        </w:rPr>
        <w:lastRenderedPageBreak/>
        <w:t>构来看，具有博士学历人员60名，硕士学历人员129名，本科及以下学历人员139名；其中，学科带头人33名，占10.06%，正高级职称专业技术人员65名，占19.82%；副高级职称专业技术人员81名，占24.7%。</w:t>
      </w:r>
    </w:p>
    <w:p w:rsidR="005472BD" w:rsidRPr="00167FFA" w:rsidRDefault="004D6A10" w:rsidP="00167FFA">
      <w:pPr>
        <w:spacing w:line="600" w:lineRule="exact"/>
        <w:ind w:firstLineChars="200" w:firstLine="640"/>
        <w:jc w:val="center"/>
        <w:rPr>
          <w:rFonts w:ascii="仿宋" w:eastAsia="仿宋" w:hAnsi="仿宋"/>
          <w:sz w:val="32"/>
          <w:szCs w:val="32"/>
        </w:rPr>
      </w:pPr>
      <w:r w:rsidRPr="00167FFA">
        <w:rPr>
          <w:rFonts w:ascii="仿宋" w:eastAsia="仿宋" w:hAnsi="仿宋" w:hint="eastAsia"/>
          <w:noProof/>
          <w:sz w:val="32"/>
          <w:szCs w:val="32"/>
        </w:rPr>
        <w:drawing>
          <wp:anchor distT="0" distB="0" distL="114300" distR="114300" simplePos="0" relativeHeight="251627008" behindDoc="0" locked="0" layoutInCell="1" allowOverlap="1">
            <wp:simplePos x="0" y="0"/>
            <wp:positionH relativeFrom="column">
              <wp:posOffset>-11430</wp:posOffset>
            </wp:positionH>
            <wp:positionV relativeFrom="paragraph">
              <wp:posOffset>-252095</wp:posOffset>
            </wp:positionV>
            <wp:extent cx="5546090" cy="2902585"/>
            <wp:effectExtent l="0" t="0" r="16510" b="12065"/>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167FFA">
        <w:rPr>
          <w:rFonts w:ascii="仿宋" w:eastAsia="仿宋" w:hAnsi="仿宋" w:hint="eastAsia"/>
          <w:sz w:val="32"/>
          <w:szCs w:val="32"/>
        </w:rPr>
        <w:t>图1-2 项目参与人员情况</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3．资金投入和使用情况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（1）项目资金投入情况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2019年度甘肃省科学院30%项目资金由当年财政拨款、上年结转资金和自筹资金三部分构成，共1625.32万元。其中：当年财政拨款资金1363.15万元，上年结转资金182.17万元，自筹资金80万元（磁性器件研究所承担的“乏燃料后处理混合澄清槽长轴搅拌器研制”和“一种用于输送带颗粒介质的无轴封永磁传动泵”各40万）。</w:t>
      </w:r>
    </w:p>
    <w:p w:rsidR="005472BD" w:rsidRPr="00167FFA" w:rsidRDefault="004D6A10" w:rsidP="00167FFA">
      <w:pPr>
        <w:spacing w:line="600" w:lineRule="exact"/>
        <w:ind w:firstLineChars="200" w:firstLine="640"/>
        <w:jc w:val="center"/>
        <w:rPr>
          <w:rFonts w:ascii="仿宋" w:eastAsia="仿宋" w:hAnsi="仿宋"/>
          <w:sz w:val="32"/>
          <w:szCs w:val="32"/>
        </w:rPr>
      </w:pPr>
      <w:r w:rsidRPr="00167FFA">
        <w:rPr>
          <w:rFonts w:ascii="仿宋" w:eastAsia="仿宋" w:hAnsi="仿宋" w:hint="eastAsia"/>
          <w:sz w:val="32"/>
          <w:szCs w:val="32"/>
        </w:rPr>
        <w:lastRenderedPageBreak/>
        <w:t>表1-1  项目资金投入情况</w:t>
      </w:r>
    </w:p>
    <w:tbl>
      <w:tblPr>
        <w:tblW w:w="7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101"/>
        <w:gridCol w:w="3038"/>
      </w:tblGrid>
      <w:tr w:rsidR="005472BD" w:rsidRPr="00167FFA">
        <w:trPr>
          <w:trHeight w:val="570"/>
          <w:jc w:val="center"/>
        </w:trPr>
        <w:tc>
          <w:tcPr>
            <w:tcW w:w="4101" w:type="dxa"/>
            <w:shd w:val="clear" w:color="auto" w:fill="F4B083" w:themeFill="accent2" w:themeFillTint="99"/>
            <w:vAlign w:val="center"/>
          </w:tcPr>
          <w:p w:rsidR="005472BD" w:rsidRPr="00167FFA" w:rsidRDefault="004D6A10">
            <w:pPr>
              <w:spacing w:line="400" w:lineRule="exact"/>
              <w:jc w:val="center"/>
              <w:rPr>
                <w:rFonts w:ascii="仿宋" w:eastAsia="仿宋" w:hAnsi="仿宋" w:cs="仿宋_GB2312"/>
                <w:b/>
                <w:sz w:val="32"/>
                <w:szCs w:val="32"/>
              </w:rPr>
            </w:pPr>
            <w:r w:rsidRPr="00167FFA">
              <w:rPr>
                <w:rFonts w:ascii="仿宋" w:eastAsia="仿宋" w:hAnsi="仿宋" w:cs="仿宋_GB2312" w:hint="eastAsia"/>
                <w:b/>
                <w:sz w:val="32"/>
                <w:szCs w:val="32"/>
              </w:rPr>
              <w:t>经费来源</w:t>
            </w:r>
          </w:p>
        </w:tc>
        <w:tc>
          <w:tcPr>
            <w:tcW w:w="3038" w:type="dxa"/>
            <w:shd w:val="clear" w:color="auto" w:fill="F4B083" w:themeFill="accent2" w:themeFillTint="99"/>
            <w:vAlign w:val="center"/>
          </w:tcPr>
          <w:p w:rsidR="005472BD" w:rsidRPr="00167FFA" w:rsidRDefault="004D6A10">
            <w:pPr>
              <w:spacing w:line="400" w:lineRule="exact"/>
              <w:jc w:val="center"/>
              <w:rPr>
                <w:rFonts w:ascii="仿宋" w:eastAsia="仿宋" w:hAnsi="仿宋" w:cs="仿宋_GB2312"/>
                <w:b/>
                <w:sz w:val="32"/>
                <w:szCs w:val="32"/>
              </w:rPr>
            </w:pPr>
            <w:r w:rsidRPr="00167FFA">
              <w:rPr>
                <w:rFonts w:ascii="仿宋" w:eastAsia="仿宋" w:hAnsi="仿宋" w:cs="仿宋_GB2312" w:hint="eastAsia"/>
                <w:b/>
                <w:sz w:val="32"/>
                <w:szCs w:val="32"/>
              </w:rPr>
              <w:t>金额（万元）</w:t>
            </w:r>
          </w:p>
        </w:tc>
      </w:tr>
      <w:tr w:rsidR="005472BD" w:rsidRPr="00167FFA">
        <w:trPr>
          <w:trHeight w:val="454"/>
          <w:jc w:val="center"/>
        </w:trPr>
        <w:tc>
          <w:tcPr>
            <w:tcW w:w="4101" w:type="dxa"/>
            <w:shd w:val="clear" w:color="auto" w:fill="FFFFFF"/>
            <w:vAlign w:val="center"/>
          </w:tcPr>
          <w:p w:rsidR="005472BD" w:rsidRPr="00167FFA" w:rsidRDefault="004D6A10">
            <w:pPr>
              <w:spacing w:line="600" w:lineRule="exact"/>
              <w:jc w:val="left"/>
              <w:rPr>
                <w:rFonts w:ascii="仿宋" w:eastAsia="仿宋" w:hAnsi="仿宋" w:cs="仿宋_GB2312"/>
                <w:b/>
                <w:sz w:val="32"/>
                <w:szCs w:val="32"/>
              </w:rPr>
            </w:pPr>
            <w:r w:rsidRPr="00167FFA">
              <w:rPr>
                <w:rFonts w:ascii="仿宋" w:eastAsia="仿宋" w:hAnsi="仿宋" w:cs="仿宋_GB2312" w:hint="eastAsia"/>
                <w:b/>
                <w:sz w:val="32"/>
                <w:szCs w:val="32"/>
              </w:rPr>
              <w:t>年度资金总额</w:t>
            </w:r>
          </w:p>
        </w:tc>
        <w:tc>
          <w:tcPr>
            <w:tcW w:w="3038" w:type="dxa"/>
            <w:shd w:val="clear" w:color="auto" w:fill="FFFFFF"/>
            <w:vAlign w:val="center"/>
          </w:tcPr>
          <w:p w:rsidR="005472BD" w:rsidRPr="00167FFA" w:rsidRDefault="004D6A10">
            <w:pPr>
              <w:spacing w:line="600" w:lineRule="exact"/>
              <w:jc w:val="center"/>
              <w:rPr>
                <w:rFonts w:ascii="仿宋" w:eastAsia="仿宋" w:hAnsi="仿宋" w:cs="仿宋_GB2312"/>
                <w:b/>
                <w:sz w:val="32"/>
                <w:szCs w:val="32"/>
              </w:rPr>
            </w:pPr>
            <w:r w:rsidRPr="00167FFA">
              <w:rPr>
                <w:rFonts w:ascii="仿宋" w:eastAsia="仿宋" w:hAnsi="仿宋" w:cs="仿宋_GB2312" w:hint="eastAsia"/>
                <w:b/>
                <w:sz w:val="32"/>
                <w:szCs w:val="32"/>
              </w:rPr>
              <w:t>1625.32</w:t>
            </w:r>
          </w:p>
        </w:tc>
      </w:tr>
      <w:tr w:rsidR="005472BD" w:rsidRPr="00167FFA">
        <w:trPr>
          <w:trHeight w:val="454"/>
          <w:jc w:val="center"/>
        </w:trPr>
        <w:tc>
          <w:tcPr>
            <w:tcW w:w="4101" w:type="dxa"/>
            <w:shd w:val="clear" w:color="auto" w:fill="FFFFFF"/>
            <w:vAlign w:val="center"/>
          </w:tcPr>
          <w:p w:rsidR="005472BD" w:rsidRPr="00167FFA" w:rsidRDefault="004D6A10">
            <w:pPr>
              <w:spacing w:line="600" w:lineRule="exact"/>
              <w:rPr>
                <w:rFonts w:ascii="仿宋" w:eastAsia="仿宋" w:hAnsi="仿宋" w:cs="仿宋_GB2312"/>
                <w:color w:val="000000"/>
                <w:sz w:val="32"/>
                <w:szCs w:val="32"/>
              </w:rPr>
            </w:pPr>
            <w:r w:rsidRPr="00167FFA">
              <w:rPr>
                <w:rFonts w:ascii="仿宋" w:eastAsia="仿宋" w:hAnsi="仿宋" w:cs="仿宋_GB2312" w:hint="eastAsia"/>
                <w:color w:val="000000"/>
                <w:sz w:val="32"/>
                <w:szCs w:val="32"/>
              </w:rPr>
              <w:t>其中：当年财政拨款</w:t>
            </w:r>
          </w:p>
        </w:tc>
        <w:tc>
          <w:tcPr>
            <w:tcW w:w="3038" w:type="dxa"/>
            <w:shd w:val="clear" w:color="auto" w:fill="FFFFFF"/>
            <w:vAlign w:val="center"/>
          </w:tcPr>
          <w:p w:rsidR="005472BD" w:rsidRPr="00167FFA" w:rsidRDefault="004D6A10">
            <w:pPr>
              <w:spacing w:line="600" w:lineRule="exact"/>
              <w:jc w:val="center"/>
              <w:rPr>
                <w:rFonts w:ascii="仿宋" w:eastAsia="仿宋" w:hAnsi="仿宋" w:cs="仿宋_GB2312"/>
                <w:color w:val="000000"/>
                <w:sz w:val="32"/>
                <w:szCs w:val="32"/>
              </w:rPr>
            </w:pPr>
            <w:r w:rsidRPr="00167FFA">
              <w:rPr>
                <w:rFonts w:ascii="仿宋" w:eastAsia="仿宋" w:hAnsi="仿宋" w:cs="仿宋_GB2312" w:hint="eastAsia"/>
                <w:color w:val="000000"/>
                <w:sz w:val="32"/>
                <w:szCs w:val="32"/>
              </w:rPr>
              <w:t>1363.15</w:t>
            </w:r>
          </w:p>
        </w:tc>
      </w:tr>
      <w:tr w:rsidR="005472BD" w:rsidRPr="00167FFA">
        <w:trPr>
          <w:trHeight w:val="454"/>
          <w:jc w:val="center"/>
        </w:trPr>
        <w:tc>
          <w:tcPr>
            <w:tcW w:w="4101" w:type="dxa"/>
            <w:shd w:val="clear" w:color="auto" w:fill="FFFFFF"/>
            <w:vAlign w:val="center"/>
          </w:tcPr>
          <w:p w:rsidR="005472BD" w:rsidRPr="00167FFA" w:rsidRDefault="004D6A10" w:rsidP="00167FFA">
            <w:pPr>
              <w:spacing w:line="600" w:lineRule="exact"/>
              <w:ind w:firstLineChars="300" w:firstLine="960"/>
              <w:rPr>
                <w:rFonts w:ascii="仿宋" w:eastAsia="仿宋" w:hAnsi="仿宋" w:cs="仿宋_GB2312"/>
                <w:color w:val="000000"/>
                <w:sz w:val="32"/>
                <w:szCs w:val="32"/>
              </w:rPr>
            </w:pPr>
            <w:r w:rsidRPr="00167FFA">
              <w:rPr>
                <w:rFonts w:ascii="仿宋" w:eastAsia="仿宋" w:hAnsi="仿宋" w:cs="仿宋_GB2312" w:hint="eastAsia"/>
                <w:color w:val="000000"/>
                <w:sz w:val="32"/>
                <w:szCs w:val="32"/>
              </w:rPr>
              <w:t>上年结转资金</w:t>
            </w:r>
          </w:p>
        </w:tc>
        <w:tc>
          <w:tcPr>
            <w:tcW w:w="3038" w:type="dxa"/>
            <w:shd w:val="clear" w:color="auto" w:fill="FFFFFF"/>
            <w:vAlign w:val="center"/>
          </w:tcPr>
          <w:p w:rsidR="005472BD" w:rsidRPr="00167FFA" w:rsidRDefault="004D6A10">
            <w:pPr>
              <w:spacing w:line="600" w:lineRule="exact"/>
              <w:jc w:val="center"/>
              <w:rPr>
                <w:rFonts w:ascii="仿宋" w:eastAsia="仿宋" w:hAnsi="仿宋" w:cs="仿宋_GB2312"/>
                <w:color w:val="000000"/>
                <w:sz w:val="32"/>
                <w:szCs w:val="32"/>
              </w:rPr>
            </w:pPr>
            <w:r w:rsidRPr="00167FFA">
              <w:rPr>
                <w:rFonts w:ascii="仿宋" w:eastAsia="仿宋" w:hAnsi="仿宋" w:cs="仿宋_GB2312" w:hint="eastAsia"/>
                <w:color w:val="000000"/>
                <w:sz w:val="32"/>
                <w:szCs w:val="32"/>
              </w:rPr>
              <w:t>182.17</w:t>
            </w:r>
          </w:p>
        </w:tc>
      </w:tr>
      <w:tr w:rsidR="005472BD" w:rsidRPr="00167FFA">
        <w:trPr>
          <w:trHeight w:val="454"/>
          <w:jc w:val="center"/>
        </w:trPr>
        <w:tc>
          <w:tcPr>
            <w:tcW w:w="4101" w:type="dxa"/>
            <w:shd w:val="clear" w:color="auto" w:fill="FFFFFF"/>
            <w:vAlign w:val="center"/>
          </w:tcPr>
          <w:p w:rsidR="005472BD" w:rsidRPr="00167FFA" w:rsidRDefault="004D6A10" w:rsidP="00167FFA">
            <w:pPr>
              <w:spacing w:line="600" w:lineRule="exact"/>
              <w:ind w:firstLineChars="300" w:firstLine="960"/>
              <w:rPr>
                <w:rFonts w:ascii="仿宋" w:eastAsia="仿宋" w:hAnsi="仿宋" w:cs="仿宋_GB2312"/>
                <w:color w:val="000000"/>
                <w:sz w:val="32"/>
                <w:szCs w:val="32"/>
              </w:rPr>
            </w:pPr>
            <w:r w:rsidRPr="00167FFA">
              <w:rPr>
                <w:rFonts w:ascii="仿宋" w:eastAsia="仿宋" w:hAnsi="仿宋" w:cs="仿宋_GB2312" w:hint="eastAsia"/>
                <w:color w:val="000000"/>
                <w:sz w:val="32"/>
                <w:szCs w:val="32"/>
              </w:rPr>
              <w:t>自筹资金</w:t>
            </w:r>
          </w:p>
        </w:tc>
        <w:tc>
          <w:tcPr>
            <w:tcW w:w="3038" w:type="dxa"/>
            <w:shd w:val="clear" w:color="auto" w:fill="FFFFFF"/>
            <w:vAlign w:val="center"/>
          </w:tcPr>
          <w:p w:rsidR="005472BD" w:rsidRPr="00167FFA" w:rsidRDefault="004D6A10">
            <w:pPr>
              <w:spacing w:line="600" w:lineRule="exact"/>
              <w:jc w:val="center"/>
              <w:rPr>
                <w:rFonts w:ascii="仿宋" w:eastAsia="仿宋" w:hAnsi="仿宋" w:cs="仿宋_GB2312"/>
                <w:color w:val="000000"/>
                <w:sz w:val="32"/>
                <w:szCs w:val="32"/>
              </w:rPr>
            </w:pPr>
            <w:r w:rsidRPr="00167FFA">
              <w:rPr>
                <w:rFonts w:ascii="仿宋" w:eastAsia="仿宋" w:hAnsi="仿宋" w:cs="仿宋_GB2312" w:hint="eastAsia"/>
                <w:color w:val="000000"/>
                <w:sz w:val="32"/>
                <w:szCs w:val="32"/>
              </w:rPr>
              <w:t>80</w:t>
            </w:r>
          </w:p>
        </w:tc>
      </w:tr>
    </w:tbl>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（2）项目资金执行总体情况</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截至2020年5月25日，2019年度30%项目资金实际支出719.77万元，执行率为44.28%。其中：财政专项资金实际支出570.43万元，执行率为41.85%，上年结转资金实际支出72.14万元，执行率为39.60%，自筹资金实际支出77.2万元，执行率为96.5%。</w:t>
      </w:r>
    </w:p>
    <w:p w:rsidR="005472BD" w:rsidRPr="00167FFA" w:rsidRDefault="004D6A10" w:rsidP="00167FFA">
      <w:pPr>
        <w:spacing w:line="600" w:lineRule="exact"/>
        <w:ind w:firstLineChars="200" w:firstLine="640"/>
        <w:jc w:val="center"/>
        <w:rPr>
          <w:rFonts w:ascii="仿宋" w:eastAsia="仿宋" w:hAnsi="仿宋"/>
          <w:sz w:val="32"/>
          <w:szCs w:val="32"/>
        </w:rPr>
      </w:pPr>
      <w:r w:rsidRPr="00167FFA">
        <w:rPr>
          <w:rFonts w:ascii="仿宋" w:eastAsia="仿宋" w:hAnsi="仿宋" w:hint="eastAsia"/>
          <w:sz w:val="32"/>
          <w:szCs w:val="32"/>
        </w:rPr>
        <w:t>表1-2  项目资金执行总体情况</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93"/>
        <w:gridCol w:w="1601"/>
        <w:gridCol w:w="1601"/>
        <w:gridCol w:w="1563"/>
        <w:gridCol w:w="1698"/>
      </w:tblGrid>
      <w:tr w:rsidR="005472BD" w:rsidRPr="00167FFA">
        <w:trPr>
          <w:trHeight w:val="951"/>
        </w:trPr>
        <w:tc>
          <w:tcPr>
            <w:tcW w:w="2293" w:type="dxa"/>
            <w:shd w:val="clear" w:color="auto" w:fill="F79646"/>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项目资金</w:t>
            </w:r>
          </w:p>
        </w:tc>
        <w:tc>
          <w:tcPr>
            <w:tcW w:w="1601" w:type="dxa"/>
            <w:shd w:val="clear" w:color="auto" w:fill="F79646"/>
            <w:tcMar>
              <w:top w:w="15" w:type="dxa"/>
              <w:left w:w="15" w:type="dxa"/>
              <w:right w:w="15" w:type="dxa"/>
            </w:tcMar>
            <w:vAlign w:val="center"/>
          </w:tcPr>
          <w:p w:rsidR="005472BD" w:rsidRPr="00167FFA" w:rsidRDefault="004D6A10">
            <w:pPr>
              <w:widowControl/>
              <w:jc w:val="center"/>
              <w:textAlignment w:val="top"/>
              <w:rPr>
                <w:rFonts w:ascii="仿宋" w:eastAsia="仿宋" w:hAnsi="仿宋" w:cs="仿宋_GB2312"/>
                <w:b/>
                <w:color w:val="000000"/>
                <w:kern w:val="0"/>
                <w:sz w:val="32"/>
                <w:szCs w:val="32"/>
              </w:rPr>
            </w:pPr>
            <w:r w:rsidRPr="00167FFA">
              <w:rPr>
                <w:rFonts w:ascii="仿宋" w:eastAsia="仿宋" w:hAnsi="仿宋" w:cs="仿宋_GB2312" w:hint="eastAsia"/>
                <w:b/>
                <w:color w:val="000000"/>
                <w:kern w:val="0"/>
                <w:sz w:val="32"/>
                <w:szCs w:val="32"/>
              </w:rPr>
              <w:t>年初预算数</w:t>
            </w:r>
          </w:p>
          <w:p w:rsidR="005472BD" w:rsidRPr="00167FFA" w:rsidRDefault="004D6A10">
            <w:pPr>
              <w:widowControl/>
              <w:jc w:val="center"/>
              <w:textAlignment w:val="top"/>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（万元）</w:t>
            </w:r>
          </w:p>
        </w:tc>
        <w:tc>
          <w:tcPr>
            <w:tcW w:w="1601" w:type="dxa"/>
            <w:shd w:val="clear" w:color="auto" w:fill="F79646"/>
            <w:tcMar>
              <w:top w:w="15" w:type="dxa"/>
              <w:left w:w="15" w:type="dxa"/>
              <w:right w:w="15" w:type="dxa"/>
            </w:tcMar>
            <w:vAlign w:val="center"/>
          </w:tcPr>
          <w:p w:rsidR="005472BD" w:rsidRPr="00167FFA" w:rsidRDefault="004D6A10">
            <w:pPr>
              <w:widowControl/>
              <w:jc w:val="center"/>
              <w:textAlignment w:val="top"/>
              <w:rPr>
                <w:rFonts w:ascii="仿宋" w:eastAsia="仿宋" w:hAnsi="仿宋" w:cs="仿宋_GB2312"/>
                <w:b/>
                <w:color w:val="000000"/>
                <w:kern w:val="0"/>
                <w:sz w:val="32"/>
                <w:szCs w:val="32"/>
              </w:rPr>
            </w:pPr>
            <w:r w:rsidRPr="00167FFA">
              <w:rPr>
                <w:rFonts w:ascii="仿宋" w:eastAsia="仿宋" w:hAnsi="仿宋" w:cs="仿宋_GB2312" w:hint="eastAsia"/>
                <w:b/>
                <w:color w:val="000000"/>
                <w:kern w:val="0"/>
                <w:sz w:val="32"/>
                <w:szCs w:val="32"/>
              </w:rPr>
              <w:t>全年预算数</w:t>
            </w:r>
          </w:p>
          <w:p w:rsidR="005472BD" w:rsidRPr="00167FFA" w:rsidRDefault="004D6A10">
            <w:pPr>
              <w:widowControl/>
              <w:jc w:val="center"/>
              <w:textAlignment w:val="top"/>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（万元）</w:t>
            </w:r>
          </w:p>
        </w:tc>
        <w:tc>
          <w:tcPr>
            <w:tcW w:w="1563" w:type="dxa"/>
            <w:shd w:val="clear" w:color="auto" w:fill="F79646"/>
            <w:tcMar>
              <w:top w:w="15" w:type="dxa"/>
              <w:left w:w="15" w:type="dxa"/>
              <w:right w:w="15" w:type="dxa"/>
            </w:tcMar>
            <w:vAlign w:val="center"/>
          </w:tcPr>
          <w:p w:rsidR="005472BD" w:rsidRPr="00167FFA" w:rsidRDefault="004D6A10">
            <w:pPr>
              <w:widowControl/>
              <w:jc w:val="center"/>
              <w:textAlignment w:val="top"/>
              <w:rPr>
                <w:rFonts w:ascii="仿宋" w:eastAsia="仿宋" w:hAnsi="仿宋" w:cs="仿宋_GB2312"/>
                <w:b/>
                <w:color w:val="000000"/>
                <w:kern w:val="0"/>
                <w:sz w:val="32"/>
                <w:szCs w:val="32"/>
              </w:rPr>
            </w:pPr>
            <w:r w:rsidRPr="00167FFA">
              <w:rPr>
                <w:rFonts w:ascii="仿宋" w:eastAsia="仿宋" w:hAnsi="仿宋" w:cs="仿宋_GB2312" w:hint="eastAsia"/>
                <w:b/>
                <w:color w:val="000000"/>
                <w:kern w:val="0"/>
                <w:sz w:val="32"/>
                <w:szCs w:val="32"/>
              </w:rPr>
              <w:t>全年执行数</w:t>
            </w:r>
          </w:p>
          <w:p w:rsidR="005472BD" w:rsidRPr="00167FFA" w:rsidRDefault="004D6A10">
            <w:pPr>
              <w:widowControl/>
              <w:jc w:val="center"/>
              <w:textAlignment w:val="top"/>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（万元）</w:t>
            </w:r>
          </w:p>
        </w:tc>
        <w:tc>
          <w:tcPr>
            <w:tcW w:w="1698" w:type="dxa"/>
            <w:shd w:val="clear" w:color="auto" w:fill="F79646"/>
            <w:tcMar>
              <w:top w:w="15" w:type="dxa"/>
              <w:left w:w="15" w:type="dxa"/>
              <w:right w:w="15" w:type="dxa"/>
            </w:tcMar>
            <w:vAlign w:val="center"/>
          </w:tcPr>
          <w:p w:rsidR="005472BD" w:rsidRPr="00167FFA" w:rsidRDefault="004D6A10">
            <w:pPr>
              <w:widowControl/>
              <w:jc w:val="center"/>
              <w:textAlignment w:val="top"/>
              <w:rPr>
                <w:rFonts w:ascii="仿宋" w:eastAsia="仿宋" w:hAnsi="仿宋" w:cs="仿宋_GB2312"/>
                <w:b/>
                <w:color w:val="000000"/>
                <w:kern w:val="0"/>
                <w:sz w:val="32"/>
                <w:szCs w:val="32"/>
              </w:rPr>
            </w:pPr>
            <w:r w:rsidRPr="00167FFA">
              <w:rPr>
                <w:rFonts w:ascii="仿宋" w:eastAsia="仿宋" w:hAnsi="仿宋" w:cs="仿宋_GB2312" w:hint="eastAsia"/>
                <w:b/>
                <w:color w:val="000000"/>
                <w:kern w:val="0"/>
                <w:sz w:val="32"/>
                <w:szCs w:val="32"/>
              </w:rPr>
              <w:t>执行率</w:t>
            </w:r>
          </w:p>
          <w:p w:rsidR="005472BD" w:rsidRPr="00167FFA" w:rsidRDefault="004D6A10">
            <w:pPr>
              <w:widowControl/>
              <w:jc w:val="center"/>
              <w:textAlignment w:val="top"/>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w:t>
            </w:r>
          </w:p>
        </w:tc>
      </w:tr>
      <w:tr w:rsidR="005472BD" w:rsidRPr="00167FFA">
        <w:trPr>
          <w:trHeight w:val="640"/>
        </w:trPr>
        <w:tc>
          <w:tcPr>
            <w:tcW w:w="2293" w:type="dxa"/>
            <w:shd w:val="clear" w:color="auto" w:fill="FFFFFF"/>
            <w:tcMar>
              <w:top w:w="15" w:type="dxa"/>
              <w:left w:w="15" w:type="dxa"/>
              <w:right w:w="15" w:type="dxa"/>
            </w:tcMar>
            <w:vAlign w:val="center"/>
          </w:tcPr>
          <w:p w:rsidR="005472BD" w:rsidRPr="00167FFA" w:rsidRDefault="004D6A10">
            <w:pPr>
              <w:widowControl/>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年度资金总额</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sz w:val="32"/>
                <w:szCs w:val="32"/>
              </w:rPr>
            </w:pPr>
            <w:r w:rsidRPr="00167FFA">
              <w:rPr>
                <w:rFonts w:ascii="仿宋" w:eastAsia="仿宋" w:hAnsi="仿宋" w:cs="仿宋_GB2312" w:hint="eastAsia"/>
                <w:b/>
                <w:kern w:val="0"/>
                <w:sz w:val="32"/>
                <w:szCs w:val="32"/>
              </w:rPr>
              <w:t>1625.32</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sz w:val="32"/>
                <w:szCs w:val="32"/>
              </w:rPr>
            </w:pPr>
            <w:r w:rsidRPr="00167FFA">
              <w:rPr>
                <w:rFonts w:ascii="仿宋" w:eastAsia="仿宋" w:hAnsi="仿宋" w:cs="仿宋_GB2312" w:hint="eastAsia"/>
                <w:b/>
                <w:kern w:val="0"/>
                <w:sz w:val="32"/>
                <w:szCs w:val="32"/>
              </w:rPr>
              <w:t>1625.32</w:t>
            </w:r>
          </w:p>
        </w:tc>
        <w:tc>
          <w:tcPr>
            <w:tcW w:w="1563"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719.77</w:t>
            </w:r>
          </w:p>
        </w:tc>
        <w:tc>
          <w:tcPr>
            <w:tcW w:w="1698"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44.28</w:t>
            </w:r>
          </w:p>
        </w:tc>
      </w:tr>
      <w:tr w:rsidR="005472BD" w:rsidRPr="00167FFA">
        <w:trPr>
          <w:trHeight w:val="640"/>
        </w:trPr>
        <w:tc>
          <w:tcPr>
            <w:tcW w:w="2293" w:type="dxa"/>
            <w:shd w:val="clear" w:color="auto" w:fill="FFFFFF"/>
            <w:tcMar>
              <w:top w:w="15" w:type="dxa"/>
              <w:left w:w="15" w:type="dxa"/>
              <w:right w:w="15" w:type="dxa"/>
            </w:tcMar>
            <w:vAlign w:val="center"/>
          </w:tcPr>
          <w:p w:rsidR="005472BD" w:rsidRPr="00167FFA" w:rsidRDefault="004D6A10">
            <w:pPr>
              <w:widowControl/>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其中：当年财政拨款</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1363.15</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1363.15</w:t>
            </w:r>
          </w:p>
        </w:tc>
        <w:tc>
          <w:tcPr>
            <w:tcW w:w="1563"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570.43</w:t>
            </w:r>
          </w:p>
        </w:tc>
        <w:tc>
          <w:tcPr>
            <w:tcW w:w="1698"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41.85</w:t>
            </w:r>
          </w:p>
        </w:tc>
      </w:tr>
      <w:tr w:rsidR="005472BD" w:rsidRPr="00167FFA">
        <w:trPr>
          <w:trHeight w:val="640"/>
        </w:trPr>
        <w:tc>
          <w:tcPr>
            <w:tcW w:w="2293" w:type="dxa"/>
            <w:shd w:val="clear" w:color="auto" w:fill="FFFFFF"/>
            <w:tcMar>
              <w:top w:w="15" w:type="dxa"/>
              <w:left w:w="15" w:type="dxa"/>
              <w:right w:w="15" w:type="dxa"/>
            </w:tcMar>
            <w:vAlign w:val="center"/>
          </w:tcPr>
          <w:p w:rsidR="005472BD" w:rsidRPr="00167FFA" w:rsidRDefault="004D6A10" w:rsidP="00167FFA">
            <w:pPr>
              <w:widowControl/>
              <w:ind w:firstLineChars="300" w:firstLine="960"/>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上年结转资金</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182.17</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182.17</w:t>
            </w:r>
          </w:p>
        </w:tc>
        <w:tc>
          <w:tcPr>
            <w:tcW w:w="1563"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72.14</w:t>
            </w:r>
          </w:p>
        </w:tc>
        <w:tc>
          <w:tcPr>
            <w:tcW w:w="1698"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39.60</w:t>
            </w:r>
          </w:p>
        </w:tc>
      </w:tr>
      <w:tr w:rsidR="005472BD" w:rsidRPr="00167FFA">
        <w:trPr>
          <w:trHeight w:val="651"/>
        </w:trPr>
        <w:tc>
          <w:tcPr>
            <w:tcW w:w="2293" w:type="dxa"/>
            <w:shd w:val="clear" w:color="auto" w:fill="FFFFFF"/>
            <w:tcMar>
              <w:top w:w="15" w:type="dxa"/>
              <w:left w:w="15" w:type="dxa"/>
              <w:right w:w="15" w:type="dxa"/>
            </w:tcMar>
            <w:vAlign w:val="center"/>
          </w:tcPr>
          <w:p w:rsidR="005472BD" w:rsidRPr="00167FFA" w:rsidRDefault="004D6A10" w:rsidP="00167FFA">
            <w:pPr>
              <w:widowControl/>
              <w:ind w:firstLineChars="300" w:firstLine="960"/>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自筹资金</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80</w:t>
            </w:r>
          </w:p>
        </w:tc>
        <w:tc>
          <w:tcPr>
            <w:tcW w:w="1601"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80</w:t>
            </w:r>
          </w:p>
        </w:tc>
        <w:tc>
          <w:tcPr>
            <w:tcW w:w="1563"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color w:val="000000"/>
                <w:sz w:val="32"/>
                <w:szCs w:val="32"/>
              </w:rPr>
            </w:pPr>
            <w:r w:rsidRPr="00167FFA">
              <w:rPr>
                <w:rFonts w:ascii="仿宋" w:eastAsia="仿宋" w:hAnsi="仿宋" w:cs="仿宋_GB2312" w:hint="eastAsia"/>
                <w:color w:val="000000"/>
                <w:kern w:val="0"/>
                <w:sz w:val="32"/>
                <w:szCs w:val="32"/>
              </w:rPr>
              <w:t>77.2</w:t>
            </w:r>
          </w:p>
        </w:tc>
        <w:tc>
          <w:tcPr>
            <w:tcW w:w="1698" w:type="dxa"/>
            <w:shd w:val="clear" w:color="auto" w:fill="FFFFFF"/>
            <w:tcMar>
              <w:top w:w="15" w:type="dxa"/>
              <w:left w:w="15" w:type="dxa"/>
              <w:right w:w="15" w:type="dxa"/>
            </w:tcMar>
            <w:vAlign w:val="center"/>
          </w:tcPr>
          <w:p w:rsidR="005472BD" w:rsidRPr="00167FFA" w:rsidRDefault="004D6A10">
            <w:pPr>
              <w:widowControl/>
              <w:jc w:val="center"/>
              <w:textAlignment w:val="center"/>
              <w:rPr>
                <w:rFonts w:ascii="仿宋" w:eastAsia="仿宋" w:hAnsi="仿宋" w:cs="仿宋_GB2312"/>
                <w:b/>
                <w:color w:val="000000"/>
                <w:sz w:val="32"/>
                <w:szCs w:val="32"/>
              </w:rPr>
            </w:pPr>
            <w:r w:rsidRPr="00167FFA">
              <w:rPr>
                <w:rFonts w:ascii="仿宋" w:eastAsia="仿宋" w:hAnsi="仿宋" w:cs="仿宋_GB2312" w:hint="eastAsia"/>
                <w:b/>
                <w:color w:val="000000"/>
                <w:kern w:val="0"/>
                <w:sz w:val="32"/>
                <w:szCs w:val="32"/>
              </w:rPr>
              <w:t>96.50</w:t>
            </w:r>
          </w:p>
        </w:tc>
      </w:tr>
    </w:tbl>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（3）各项目实施单位资金执行情况</w:t>
      </w:r>
    </w:p>
    <w:p w:rsidR="005472BD" w:rsidRPr="00167FFA" w:rsidRDefault="004D6A10" w:rsidP="00167FFA">
      <w:pPr>
        <w:spacing w:line="600" w:lineRule="exact"/>
        <w:ind w:firstLineChars="200" w:firstLine="640"/>
        <w:rPr>
          <w:rFonts w:ascii="仿宋" w:eastAsia="仿宋" w:hAnsi="仿宋"/>
          <w:sz w:val="32"/>
          <w:szCs w:val="32"/>
        </w:rPr>
        <w:sectPr w:rsidR="005472BD" w:rsidRPr="00167FFA">
          <w:footerReference w:type="default" r:id="rId9"/>
          <w:pgSz w:w="11900" w:h="16838"/>
          <w:pgMar w:top="1984" w:right="1531" w:bottom="1701" w:left="1531" w:header="851" w:footer="992" w:gutter="0"/>
          <w:pgNumType w:start="1"/>
          <w:cols w:space="720"/>
          <w:docGrid w:linePitch="381"/>
        </w:sectPr>
      </w:pPr>
      <w:r w:rsidRPr="00167FFA">
        <w:rPr>
          <w:rFonts w:ascii="仿宋" w:eastAsia="仿宋" w:hAnsi="仿宋" w:hint="eastAsia"/>
          <w:sz w:val="32"/>
          <w:szCs w:val="32"/>
        </w:rPr>
        <w:lastRenderedPageBreak/>
        <w:t>在28个项目中，资金执行率达到80%以上的项目有5项，占项目总数的17.86%，其中“永磁传动及轴承技术设备创新团队”项目与“南山绿化上水管网改造”项目执行率为100%；执行率在40%-80%之间的有14项，占50%；执行率在40%以下的项目有9项，占32.14%。各项目具体情况如下表，表中所列项目资金包括当年财政拨款、上年结转资金及其他资金。</w:t>
      </w:r>
    </w:p>
    <w:p w:rsidR="005472BD" w:rsidRDefault="004D6A10">
      <w:pPr>
        <w:jc w:val="center"/>
        <w:rPr>
          <w:sz w:val="28"/>
          <w:szCs w:val="22"/>
        </w:rPr>
      </w:pPr>
      <w:r>
        <w:rPr>
          <w:rFonts w:hint="eastAsia"/>
          <w:sz w:val="28"/>
          <w:szCs w:val="22"/>
        </w:rPr>
        <w:lastRenderedPageBreak/>
        <w:t>表</w:t>
      </w:r>
      <w:r>
        <w:rPr>
          <w:rFonts w:hint="eastAsia"/>
          <w:sz w:val="28"/>
          <w:szCs w:val="22"/>
        </w:rPr>
        <w:t>1-3  2019</w:t>
      </w:r>
      <w:r>
        <w:rPr>
          <w:rFonts w:hint="eastAsia"/>
          <w:sz w:val="28"/>
          <w:szCs w:val="22"/>
        </w:rPr>
        <w:t>年度甘肃省科学院项目资金执行情况</w:t>
      </w:r>
    </w:p>
    <w:tbl>
      <w:tblPr>
        <w:tblW w:w="14076"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44"/>
        <w:gridCol w:w="1282"/>
        <w:gridCol w:w="2223"/>
        <w:gridCol w:w="1077"/>
        <w:gridCol w:w="1142"/>
        <w:gridCol w:w="1077"/>
        <w:gridCol w:w="6431"/>
      </w:tblGrid>
      <w:tr w:rsidR="005472BD">
        <w:trPr>
          <w:trHeight w:val="1086"/>
          <w:tblHeader/>
        </w:trPr>
        <w:tc>
          <w:tcPr>
            <w:tcW w:w="844"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FFFFFF" w:themeColor="background1"/>
                <w:sz w:val="24"/>
              </w:rPr>
            </w:pPr>
            <w:r>
              <w:rPr>
                <w:rFonts w:ascii="仿宋_GB2312" w:hAnsi="仿宋_GB2312" w:cs="仿宋_GB2312" w:hint="eastAsia"/>
                <w:b/>
                <w:bCs/>
                <w:color w:val="FFFFFF" w:themeColor="background1"/>
                <w:kern w:val="0"/>
                <w:sz w:val="24"/>
              </w:rPr>
              <w:t>序号</w:t>
            </w:r>
          </w:p>
        </w:tc>
        <w:tc>
          <w:tcPr>
            <w:tcW w:w="1282"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FFFFFF" w:themeColor="background1"/>
                <w:kern w:val="0"/>
                <w:sz w:val="24"/>
              </w:rPr>
            </w:pPr>
            <w:r>
              <w:rPr>
                <w:rFonts w:ascii="仿宋_GB2312" w:hAnsi="仿宋_GB2312" w:cs="仿宋_GB2312" w:hint="eastAsia"/>
                <w:b/>
                <w:bCs/>
                <w:color w:val="FFFFFF" w:themeColor="background1"/>
                <w:kern w:val="0"/>
                <w:sz w:val="24"/>
              </w:rPr>
              <w:t>项目</w:t>
            </w:r>
          </w:p>
          <w:p w:rsidR="005472BD" w:rsidRDefault="004D6A10">
            <w:pPr>
              <w:widowControl/>
              <w:jc w:val="center"/>
              <w:textAlignment w:val="center"/>
              <w:rPr>
                <w:rFonts w:ascii="仿宋_GB2312" w:hAnsi="仿宋_GB2312" w:cs="仿宋_GB2312"/>
                <w:b/>
                <w:bCs/>
                <w:color w:val="FFFFFF" w:themeColor="background1"/>
                <w:sz w:val="24"/>
              </w:rPr>
            </w:pPr>
            <w:r>
              <w:rPr>
                <w:rFonts w:ascii="仿宋_GB2312" w:hAnsi="仿宋_GB2312" w:cs="仿宋_GB2312" w:hint="eastAsia"/>
                <w:b/>
                <w:bCs/>
                <w:color w:val="FFFFFF" w:themeColor="background1"/>
                <w:kern w:val="0"/>
                <w:sz w:val="24"/>
              </w:rPr>
              <w:t>承担单位</w:t>
            </w:r>
          </w:p>
        </w:tc>
        <w:tc>
          <w:tcPr>
            <w:tcW w:w="2223"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FFFFFF" w:themeColor="background1"/>
                <w:sz w:val="24"/>
              </w:rPr>
            </w:pPr>
            <w:r>
              <w:rPr>
                <w:rFonts w:ascii="仿宋_GB2312" w:hAnsi="仿宋_GB2312" w:cs="仿宋_GB2312" w:hint="eastAsia"/>
                <w:b/>
                <w:bCs/>
                <w:color w:val="FFFFFF" w:themeColor="background1"/>
                <w:kern w:val="0"/>
                <w:sz w:val="24"/>
              </w:rPr>
              <w:t>项目名称</w:t>
            </w:r>
          </w:p>
        </w:tc>
        <w:tc>
          <w:tcPr>
            <w:tcW w:w="1077"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FFFFFF" w:themeColor="background1"/>
                <w:sz w:val="24"/>
              </w:rPr>
            </w:pPr>
            <w:r>
              <w:rPr>
                <w:rFonts w:ascii="仿宋_GB2312" w:hAnsi="仿宋_GB2312" w:cs="仿宋_GB2312" w:hint="eastAsia"/>
                <w:b/>
                <w:bCs/>
                <w:color w:val="FFFFFF" w:themeColor="background1"/>
                <w:kern w:val="0"/>
                <w:sz w:val="24"/>
              </w:rPr>
              <w:t>项目资金（万元）</w:t>
            </w:r>
          </w:p>
        </w:tc>
        <w:tc>
          <w:tcPr>
            <w:tcW w:w="1142"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FFFFFF" w:themeColor="background1"/>
                <w:sz w:val="24"/>
              </w:rPr>
            </w:pPr>
            <w:r>
              <w:rPr>
                <w:rFonts w:ascii="仿宋_GB2312" w:hAnsi="仿宋_GB2312" w:cs="仿宋_GB2312" w:hint="eastAsia"/>
                <w:b/>
                <w:bCs/>
                <w:color w:val="FFFFFF" w:themeColor="background1"/>
                <w:kern w:val="0"/>
                <w:sz w:val="24"/>
              </w:rPr>
              <w:t>实际支出（万元）</w:t>
            </w:r>
          </w:p>
        </w:tc>
        <w:tc>
          <w:tcPr>
            <w:tcW w:w="1077"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FFFFFF" w:themeColor="background1"/>
                <w:sz w:val="24"/>
              </w:rPr>
            </w:pPr>
            <w:r>
              <w:rPr>
                <w:rFonts w:ascii="仿宋_GB2312" w:hAnsi="仿宋_GB2312" w:cs="仿宋_GB2312" w:hint="eastAsia"/>
                <w:b/>
                <w:bCs/>
                <w:color w:val="FFFFFF" w:themeColor="background1"/>
                <w:kern w:val="0"/>
                <w:sz w:val="24"/>
              </w:rPr>
              <w:t>执行率（%）</w:t>
            </w:r>
          </w:p>
        </w:tc>
        <w:tc>
          <w:tcPr>
            <w:tcW w:w="6431"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b/>
                <w:bCs/>
                <w:color w:val="5B9BD5" w:themeColor="accent1"/>
                <w:sz w:val="24"/>
              </w:rPr>
            </w:pPr>
            <w:r>
              <w:rPr>
                <w:rFonts w:ascii="仿宋_GB2312" w:hAnsi="仿宋_GB2312" w:cs="仿宋_GB2312" w:hint="eastAsia"/>
                <w:b/>
                <w:bCs/>
                <w:color w:val="FFFFFF" w:themeColor="background1"/>
                <w:kern w:val="0"/>
                <w:sz w:val="24"/>
              </w:rPr>
              <w:t>备注</w:t>
            </w:r>
          </w:p>
        </w:tc>
      </w:tr>
      <w:tr w:rsidR="005472BD">
        <w:trPr>
          <w:trHeight w:val="1491"/>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磁性器件研究所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永磁传动及轴承技术设备创新团队</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49.09</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49.09</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本项目资金总额为100万元，全部为财政拨付资金，截至目前，已拨付到位70万元，其中，2018年拨付30万元，2019年拨付40万元。项目资金拨付后已100%使用，其中，2018年使用20.91万元，2019年使用49.09万元。</w:t>
            </w:r>
          </w:p>
        </w:tc>
      </w:tr>
      <w:tr w:rsidR="005472BD">
        <w:trPr>
          <w:trHeight w:val="132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后勤中心</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南山绿化上水管网改造</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100</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项目预算投资105万元，2017年资金到位80万元，2019年资金到位25万元；截至目前，资金支出106.02万元，2019年25万元全部支出。</w:t>
            </w:r>
          </w:p>
        </w:tc>
      </w:tr>
      <w:tr w:rsidR="005472BD">
        <w:trPr>
          <w:trHeight w:val="1650"/>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自动化研究所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智慧博物馆相关技术研发与示范应用</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94.56</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79.34</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83.90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项目执行期三年，资金总额200万元，2018年71.85万元，2019年68.15万元，2020年60万元。截至目前，项目共计支出147.30万元，结余52.70万元。其中，2019年实际支出79.34万元，包括上年结转的26.41万元。</w:t>
            </w:r>
          </w:p>
        </w:tc>
      </w:tr>
      <w:tr w:rsidR="005472BD">
        <w:trPr>
          <w:trHeight w:val="1252"/>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磁性器件研究所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乏燃料后处理混合澄清槽长轴搅拌器研制</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114.68</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94.05</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82.01</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本项目截至目前，院支持经费已拨付60万元，自筹完成40万元，上年结转14.68万元。院支持经费实际使用54.05万元，结余5.95万元。</w:t>
            </w:r>
          </w:p>
        </w:tc>
      </w:tr>
      <w:tr w:rsidR="005472BD">
        <w:trPr>
          <w:trHeight w:val="1491"/>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5</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抗菌肽LactoferricinB融合蛋白的抗肿瘤成药性研究</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16.07</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80.35</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2019年拨付经费20万元，2020年拨付10万元，共计30万元。截至2020年5月账面支出16.07万元。另有已形成支出费用0.86万元（材料费）未入账。</w:t>
            </w:r>
          </w:p>
        </w:tc>
      </w:tr>
      <w:tr w:rsidR="005472BD">
        <w:trPr>
          <w:trHeight w:val="113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磁性器件研究所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一种用于输送带颗粒介质的无轴封永磁传动泵</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78.7</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78.70</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本项目截至目前，院支持经费已拨付60万元，自筹完成40万元。院支持经费实际使用38.70万元，结余22.30万元。</w:t>
            </w:r>
          </w:p>
        </w:tc>
      </w:tr>
      <w:tr w:rsidR="005472BD">
        <w:trPr>
          <w:trHeight w:val="1491"/>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自动化研究所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馆藏文物数字化及活态化技术研发创新团队</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22.22</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74.07</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项目总经费100万元，2019年8月拨付30万元，截至2020年6月拨付30万元。2019年支出22.22万元，2020年1至6月支出16.28万元，截至2020年6月项目共计支出38.50万元。</w:t>
            </w:r>
          </w:p>
        </w:tc>
      </w:tr>
      <w:tr w:rsidR="005472BD">
        <w:trPr>
          <w:trHeight w:val="784"/>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农牧废弃物生物处理与利用创新团队</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21.42</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71.40</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项目总预算经费100万元，执行期三年，2019年拨付经费30万元，截至2020年5月已支出经费21.42万元。</w:t>
            </w:r>
          </w:p>
        </w:tc>
      </w:tr>
      <w:tr w:rsidR="005472BD">
        <w:trPr>
          <w:trHeight w:val="1072"/>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甘肃贝母固氮菌筛选及肥效功能研究</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12.8</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64.00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项目立项总经费40万元，2019年6月到位20万元，2020年3月到位5万元，截至2020年4月，支出12.8万元。</w:t>
            </w:r>
          </w:p>
        </w:tc>
      </w:tr>
      <w:tr w:rsidR="005472BD">
        <w:trPr>
          <w:trHeight w:val="113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10</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设施化羊肚菌中试生产</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19.94</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56.97</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本项目2019年拨付35万元，2020年拨付20万元。执行期从2019年7月至2021年7月，总计3年。自2019年7月至2020年5月20日，总计支出经费19.94万元。</w:t>
            </w:r>
          </w:p>
        </w:tc>
      </w:tr>
      <w:tr w:rsidR="005472BD">
        <w:trPr>
          <w:trHeight w:val="1370"/>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实验工厂</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白银分院设备购置费</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280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155.53</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55.55</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项目资金共计280万元，当年财政拨款280万元。2019年实际支出共计155.53万元，完成率55.55%。2019年结余124.47万元，用于专业型实验设备采购。</w:t>
            </w:r>
          </w:p>
        </w:tc>
      </w:tr>
      <w:tr w:rsidR="005472BD">
        <w:trPr>
          <w:trHeight w:val="1491"/>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地质灾害防治与生态地质环境修复创新团队</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36.97</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52.81</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sz w:val="24"/>
              </w:rPr>
              <w:t>本项目资金2018年6月20日拨付30万元，2019年6月30日拨付40万元，共计拨入70万元。2019年12月31日，本项目共支付资金36.97万元，2020年1月1日至5月21日，本项目共支付资金1.13万元。</w:t>
            </w:r>
          </w:p>
        </w:tc>
      </w:tr>
      <w:tr w:rsidR="005472BD">
        <w:trPr>
          <w:trHeight w:val="1844"/>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13</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面向大视场的虚拟阵列成像系统研发</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10.1</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50.50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本项目总经费50万元，执行期三年，2019年8月到账20万元。第一年度预算花费20万元，截至目前总计花费10.10万元，除间接经费外，主要用于材料费和小部分差旅费、燃料动力费。但因2020年结转经费没有到位，影响到了项目的执行。尤其在影像硬件条件的采购方面，会导致项目无法执行。</w:t>
            </w:r>
          </w:p>
        </w:tc>
      </w:tr>
      <w:tr w:rsidR="005472BD">
        <w:trPr>
          <w:trHeight w:val="113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14</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奶牛养殖废弃物生物处理与利用关键技术</w:t>
            </w:r>
            <w:r>
              <w:rPr>
                <w:rFonts w:ascii="仿宋_GB2312" w:hAnsi="仿宋_GB2312" w:cs="仿宋_GB2312" w:hint="eastAsia"/>
                <w:color w:val="000000"/>
                <w:kern w:val="0"/>
                <w:sz w:val="24"/>
              </w:rPr>
              <w:lastRenderedPageBreak/>
              <w:t>及装备研发</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91</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43.8</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48.13</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项目执行期3年，从2018年8月至2021年8月,项目总经费180万元已全部到账，截至2020年5月21日总支出91.4万</w:t>
            </w:r>
            <w:r>
              <w:rPr>
                <w:rFonts w:ascii="仿宋_GB2312" w:hAnsi="仿宋_GB2312" w:cs="仿宋_GB2312" w:hint="eastAsia"/>
                <w:color w:val="000000"/>
                <w:sz w:val="24"/>
              </w:rPr>
              <w:lastRenderedPageBreak/>
              <w:t>元，2019年度执行数为43.8万元。</w:t>
            </w:r>
          </w:p>
        </w:tc>
      </w:tr>
      <w:tr w:rsidR="005472BD">
        <w:trPr>
          <w:trHeight w:val="1962"/>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15</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自动化研究所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农村饮用水水质处理一体化设备产业化研发</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13.38</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44.60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总经费50万元，2019年拨付30万元，2020年拨付20万元，经费全部到账。2019年支出13.38万元，2020年1至6月支出12.89万元，截至2020年6月，共计支出26.27万元，结余23.73万元，主要用于进行项目试制样机现场调试验证。</w:t>
            </w:r>
          </w:p>
        </w:tc>
      </w:tr>
      <w:tr w:rsidR="005472BD">
        <w:trPr>
          <w:trHeight w:val="113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基于GMR效应的金属材料裂纹涡流探伤仪的研制</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8.17</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40.85</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sz w:val="24"/>
              </w:rPr>
              <w:t>到目前为止，20万经费中，支出8.17万元，主要用于购买设备、办公经费和间接经费及管理费的提取。</w:t>
            </w:r>
          </w:p>
        </w:tc>
      </w:tr>
      <w:tr w:rsidR="005472BD">
        <w:trPr>
          <w:trHeight w:val="1370"/>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实验工厂</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主战坦克专用纳米润滑油产品开发</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37.78</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14.83</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39.25</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项目投资总额40万元，其中当年财政拨款10万元，上年结转资金27.78万元。2019年完成支出14.83万元（其中4.83万为上年结转资金支出），支出率占全年预算100%。</w:t>
            </w:r>
          </w:p>
        </w:tc>
      </w:tr>
      <w:tr w:rsidR="005472BD">
        <w:trPr>
          <w:trHeight w:val="1794"/>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18</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巨磁阻MEMS转速传感器的产业化</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27.53</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34.41</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到目前为止，80万经费中，2019年预算支出35.0万，实际支出27.53万元，除间接经费外，主要用于材料费和小部分设备费。其中，2020年计划支出的大部分设备费，因2020年预算4月份下达，并受疫情影响，设备的支出正在进行过程中。</w:t>
            </w:r>
          </w:p>
        </w:tc>
      </w:tr>
      <w:tr w:rsidR="005472BD">
        <w:trPr>
          <w:trHeight w:val="1794"/>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19</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河西走廊浅埋线性工程大型水毁防治技术研究与应用</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6.4348</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32.17</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课题总经费40万元，2019年6月拨付年度经费20万元，专款专用并单独核算；截至2019年12月31日，累计执行数6.4348万元，执行率约32%。</w:t>
            </w:r>
          </w:p>
        </w:tc>
      </w:tr>
      <w:tr w:rsidR="005472BD">
        <w:trPr>
          <w:trHeight w:val="166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高性能生物纳米磁珠的产业化</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20.32</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29.03</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sz w:val="24"/>
              </w:rPr>
              <w:t>到目前为止，70万经费中，2019年支出预算60万，实际支出20.32万元，除间接经费外，主要用于材料费和参加会议费用。其中，2020年计划支出大部分设备费，因2020年预算4月份下达，并受疫情影响，设备的支出正在进行过程中。</w:t>
            </w:r>
          </w:p>
        </w:tc>
      </w:tr>
      <w:tr w:rsidR="005472BD">
        <w:trPr>
          <w:trHeight w:val="1667"/>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sz w:val="24"/>
              </w:rPr>
            </w:pPr>
            <w:r>
              <w:rPr>
                <w:rFonts w:ascii="仿宋_GB2312" w:hAnsi="仿宋_GB2312" w:cs="仿宋_GB2312" w:hint="eastAsia"/>
                <w:kern w:val="0"/>
                <w:sz w:val="24"/>
              </w:rPr>
              <w:t>21</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sz w:val="24"/>
              </w:rPr>
            </w:pPr>
            <w:r>
              <w:rPr>
                <w:rFonts w:ascii="仿宋_GB2312" w:hAnsi="仿宋_GB2312" w:cs="仿宋_GB2312" w:hint="eastAsia"/>
                <w:kern w:val="0"/>
                <w:sz w:val="24"/>
              </w:rPr>
              <w:t>生物研究所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sz w:val="24"/>
              </w:rPr>
            </w:pPr>
            <w:r>
              <w:rPr>
                <w:rFonts w:ascii="仿宋_GB2312" w:hAnsi="仿宋_GB2312" w:cs="仿宋_GB2312" w:hint="eastAsia"/>
                <w:kern w:val="0"/>
                <w:sz w:val="24"/>
              </w:rPr>
              <w:t>纳米硅肥制备及对旱地玉米的增效作用研究</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sz w:val="24"/>
              </w:rPr>
            </w:pPr>
            <w:r>
              <w:rPr>
                <w:rFonts w:ascii="仿宋_GB2312" w:hAnsi="仿宋_GB2312" w:cs="仿宋_GB2312" w:hint="eastAsia"/>
                <w:kern w:val="0"/>
                <w:sz w:val="24"/>
              </w:rPr>
              <w:t>20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sz w:val="24"/>
              </w:rPr>
            </w:pPr>
            <w:r>
              <w:rPr>
                <w:rFonts w:ascii="仿宋_GB2312" w:hAnsi="仿宋_GB2312" w:cs="仿宋_GB2312" w:hint="eastAsia"/>
                <w:kern w:val="0"/>
                <w:sz w:val="24"/>
              </w:rPr>
              <w:t>5.61</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sz w:val="24"/>
              </w:rPr>
            </w:pPr>
            <w:r>
              <w:rPr>
                <w:rFonts w:ascii="仿宋_GB2312" w:hAnsi="仿宋_GB2312" w:cs="仿宋_GB2312" w:hint="eastAsia"/>
                <w:kern w:val="0"/>
                <w:sz w:val="24"/>
              </w:rPr>
              <w:t>28.05</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sz w:val="24"/>
              </w:rPr>
            </w:pPr>
            <w:r>
              <w:rPr>
                <w:rFonts w:ascii="仿宋_GB2312" w:hAnsi="仿宋_GB2312" w:cs="仿宋_GB2312" w:hint="eastAsia"/>
                <w:sz w:val="24"/>
              </w:rPr>
              <w:t>项目总经费60万元，其中纳米室40万元，生物所20万元。项目总体支出10.02万元。生物所20万元财政拨款到位，从2019年6月25日至2019年12月31日完成支出5.61万元。</w:t>
            </w:r>
          </w:p>
        </w:tc>
      </w:tr>
      <w:tr w:rsidR="005472BD">
        <w:trPr>
          <w:trHeight w:val="1844"/>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22</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基于GIS的智慧太平大数据系统开发及应用研究</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67.23</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18.04</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26.83</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该项目于2018年7月立项，批准经费180万元，目前到账120万元。2019年财政拨款60万元，上年结转7.23万元，全年预算经费67.23万元，经费支出总额18.04万元，占当年财政拨款30.07%。截至2020年</w:t>
            </w:r>
            <w:r>
              <w:rPr>
                <w:rFonts w:ascii="仿宋_GB2312" w:hAnsi="仿宋_GB2312" w:cs="仿宋_GB2312"/>
                <w:color w:val="000000"/>
                <w:sz w:val="24"/>
              </w:rPr>
              <w:t>5</w:t>
            </w:r>
            <w:r>
              <w:rPr>
                <w:rFonts w:ascii="仿宋_GB2312" w:hAnsi="仿宋_GB2312" w:cs="仿宋_GB2312" w:hint="eastAsia"/>
                <w:color w:val="000000"/>
                <w:sz w:val="24"/>
              </w:rPr>
              <w:t>月</w:t>
            </w:r>
            <w:r>
              <w:rPr>
                <w:rFonts w:ascii="仿宋_GB2312" w:hAnsi="仿宋_GB2312" w:cs="仿宋_GB2312"/>
                <w:color w:val="000000"/>
                <w:sz w:val="24"/>
              </w:rPr>
              <w:t>21</w:t>
            </w:r>
            <w:r>
              <w:rPr>
                <w:rFonts w:ascii="仿宋_GB2312" w:hAnsi="仿宋_GB2312" w:cs="仿宋_GB2312" w:hint="eastAsia"/>
                <w:color w:val="000000"/>
                <w:sz w:val="24"/>
              </w:rPr>
              <w:t>日，项目整体形成支出</w:t>
            </w:r>
            <w:r>
              <w:rPr>
                <w:rFonts w:ascii="仿宋_GB2312" w:hAnsi="仿宋_GB2312" w:cs="仿宋_GB2312"/>
                <w:color w:val="000000"/>
                <w:sz w:val="24"/>
              </w:rPr>
              <w:t>79.37</w:t>
            </w:r>
            <w:r>
              <w:rPr>
                <w:rFonts w:ascii="仿宋_GB2312" w:hAnsi="仿宋_GB2312" w:cs="仿宋_GB2312" w:hint="eastAsia"/>
                <w:color w:val="000000"/>
                <w:sz w:val="24"/>
              </w:rPr>
              <w:t>万元。</w:t>
            </w:r>
          </w:p>
        </w:tc>
      </w:tr>
      <w:tr w:rsidR="005472BD">
        <w:trPr>
          <w:trHeight w:val="2019"/>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23</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甘肃自然保护区矿山生态修复关键技术研究</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55.98</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14.05</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25.10</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该项目于2018年6月立项，批准经费80万元，目前到账70万元。2019年财政拨款20万元，上年结转35.98万元，全年预算经费55.98万元，经费支出总额14.05万元，占当年财政拨款70.25%，截至2020年5月21日，项目整体形成支出28.67万元。</w:t>
            </w:r>
          </w:p>
        </w:tc>
      </w:tr>
      <w:tr w:rsidR="005472BD">
        <w:trPr>
          <w:trHeight w:val="1137"/>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甘肃省陇南地区泥石流治理工程效果评价</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20.00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sz w:val="24"/>
              </w:rPr>
              <w:t>项目总额137万，2019年拨付了90万。计提管理费18万元，剩余72万元。</w:t>
            </w:r>
          </w:p>
        </w:tc>
      </w:tr>
      <w:tr w:rsidR="005472BD">
        <w:trPr>
          <w:trHeight w:val="1305"/>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泾川县柴胡种植技术扶贫示范与技术培训</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4.66</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18.64</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2019年拨付经费25万元，截至2020年5月账面支出4.66万元。另有已形成支出（未入账）费用3.73万元（差旅费、扶贫费等），总计支出8.39万元。</w:t>
            </w:r>
          </w:p>
        </w:tc>
      </w:tr>
      <w:tr w:rsidR="005472BD">
        <w:trPr>
          <w:trHeight w:val="1284"/>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26</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利用养殖场废水生产多粘类芽孢杆菌菌剂</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17.50</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5B9BD5" w:themeColor="accent1"/>
                <w:sz w:val="24"/>
              </w:rPr>
            </w:pPr>
            <w:r>
              <w:rPr>
                <w:rFonts w:ascii="仿宋_GB2312" w:hAnsi="仿宋_GB2312" w:cs="仿宋_GB2312" w:hint="eastAsia"/>
                <w:color w:val="000000"/>
                <w:sz w:val="24"/>
              </w:rPr>
              <w:t>项目执行期2年，2019年实际到账20万元，实际支出3.5万元。由于设备获得财政审批的时间较长，项目受季节和疫情影响较大，支出较少，目前项目正在进行，预计可以完成。</w:t>
            </w:r>
          </w:p>
        </w:tc>
      </w:tr>
      <w:tr w:rsidR="005472BD">
        <w:trPr>
          <w:trHeight w:val="1355"/>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27</w:t>
            </w:r>
          </w:p>
        </w:tc>
        <w:tc>
          <w:tcPr>
            <w:tcW w:w="128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实验工厂</w:t>
            </w:r>
          </w:p>
        </w:tc>
        <w:tc>
          <w:tcPr>
            <w:tcW w:w="222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高性能纳米永磁材料开发</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50</w:t>
            </w:r>
          </w:p>
        </w:tc>
        <w:tc>
          <w:tcPr>
            <w:tcW w:w="114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6.96</w:t>
            </w:r>
          </w:p>
        </w:tc>
        <w:tc>
          <w:tcPr>
            <w:tcW w:w="1077"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13.92</w:t>
            </w:r>
          </w:p>
        </w:tc>
        <w:tc>
          <w:tcPr>
            <w:tcW w:w="643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sz w:val="24"/>
              </w:rPr>
              <w:t>项目投资总额为70万元，当年财政拨款50万元，从2019年8月31日至2019年12月31日完成支出6.96万元，支出率为13.92%。2019年结余结转金额为43.04万元。</w:t>
            </w:r>
          </w:p>
        </w:tc>
      </w:tr>
      <w:tr w:rsidR="005472BD">
        <w:trPr>
          <w:trHeight w:val="1874"/>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28</w:t>
            </w:r>
          </w:p>
        </w:tc>
        <w:tc>
          <w:tcPr>
            <w:tcW w:w="128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222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线性巨磁阻MEMS传感器的关键技术研究及器件研发</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60</w:t>
            </w:r>
          </w:p>
        </w:tc>
        <w:tc>
          <w:tcPr>
            <w:tcW w:w="114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5.67</w:t>
            </w:r>
          </w:p>
        </w:tc>
        <w:tc>
          <w:tcPr>
            <w:tcW w:w="1077"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9.45</w:t>
            </w:r>
          </w:p>
        </w:tc>
        <w:tc>
          <w:tcPr>
            <w:tcW w:w="643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sz w:val="24"/>
              </w:rPr>
              <w:t>项目2019年经费60万，2019年支出预算16.0万，已经支出约5.67万用于设备费、水电运行和日常材料费。资金结余54万，其中，2020年计划支出的大部分二十多万的设备费，因2020年预算在4月份下达，并受疫情影响，设备的支出正在进行过程中。</w:t>
            </w:r>
          </w:p>
        </w:tc>
      </w:tr>
    </w:tbl>
    <w:p w:rsidR="005472BD" w:rsidRDefault="005472BD">
      <w:pPr>
        <w:jc w:val="center"/>
        <w:rPr>
          <w:sz w:val="28"/>
          <w:szCs w:val="22"/>
        </w:rPr>
      </w:pPr>
    </w:p>
    <w:p w:rsidR="005472BD" w:rsidRDefault="005472BD">
      <w:pPr>
        <w:jc w:val="center"/>
        <w:rPr>
          <w:sz w:val="28"/>
          <w:szCs w:val="22"/>
        </w:rPr>
      </w:pPr>
    </w:p>
    <w:p w:rsidR="005472BD" w:rsidRDefault="005472BD">
      <w:pPr>
        <w:keepNext/>
        <w:keepLines/>
        <w:spacing w:line="320" w:lineRule="auto"/>
        <w:sectPr w:rsidR="005472BD">
          <w:pgSz w:w="16838" w:h="11900" w:orient="landscape"/>
          <w:pgMar w:top="1531" w:right="1984" w:bottom="1531" w:left="1701" w:header="851" w:footer="992" w:gutter="0"/>
          <w:cols w:space="720"/>
          <w:docGrid w:linePitch="381"/>
        </w:sectPr>
      </w:pP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0" w:name="_Toc7449"/>
      <w:r w:rsidRPr="00167FFA">
        <w:rPr>
          <w:rFonts w:ascii="仿宋" w:eastAsia="仿宋" w:hAnsi="仿宋" w:hint="eastAsia"/>
          <w:b/>
          <w:bCs/>
          <w:sz w:val="32"/>
          <w:szCs w:val="32"/>
        </w:rPr>
        <w:lastRenderedPageBreak/>
        <w:t>（二）项目绩效目标</w:t>
      </w:r>
      <w:bookmarkEnd w:id="10"/>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1．总体目标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围绕“科技兴院、人才强院”的建院要求，通过深化运行机制改革、加大高层次人才引进培养力度、加强综合科技创新能力建设等举措，打造甘肃高层次人才集聚高地，产学研合作与科研成果转化应用的组织载体，创新驱动发展的枢纽型高端平台，为甘肃省科技创新和产业升级提供坚强科技支撑。</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2．阶段性目标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在项目实施过程中培养、吸纳和储备一批高科技人才和学科带头人，积极参与学术交流与合作，掌握高新技术研究和产业动态，开展群众性科技普及活动，进一步加强地方科研条件和基础能力建设，推进科研成果的示范应用，提升区域科技创新能力，发挥科技创新对经济社会发展的支撑作用，为省委、省政府提供科学依据。</w:t>
      </w:r>
    </w:p>
    <w:p w:rsidR="005472BD" w:rsidRPr="00167FFA" w:rsidRDefault="004D6A10" w:rsidP="00003238">
      <w:pPr>
        <w:spacing w:beforeLines="100" w:afterLines="100" w:line="600" w:lineRule="exact"/>
        <w:ind w:firstLineChars="200" w:firstLine="640"/>
        <w:outlineLvl w:val="0"/>
        <w:rPr>
          <w:rFonts w:ascii="仿宋" w:eastAsia="仿宋" w:hAnsi="仿宋"/>
          <w:sz w:val="32"/>
          <w:szCs w:val="32"/>
        </w:rPr>
      </w:pPr>
      <w:bookmarkStart w:id="11" w:name="_Toc16495"/>
      <w:r w:rsidRPr="00167FFA">
        <w:rPr>
          <w:rFonts w:ascii="仿宋" w:eastAsia="仿宋" w:hAnsi="仿宋" w:hint="eastAsia"/>
          <w:sz w:val="32"/>
          <w:szCs w:val="32"/>
        </w:rPr>
        <w:t>二、绩效评价工作开展情况</w:t>
      </w:r>
      <w:bookmarkEnd w:id="11"/>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2" w:name="_Toc9578"/>
      <w:r w:rsidRPr="00167FFA">
        <w:rPr>
          <w:rFonts w:ascii="仿宋" w:eastAsia="仿宋" w:hAnsi="仿宋" w:hint="eastAsia"/>
          <w:b/>
          <w:bCs/>
          <w:sz w:val="32"/>
          <w:szCs w:val="32"/>
        </w:rPr>
        <w:t>（一）绩效评价目的</w:t>
      </w:r>
      <w:bookmarkEnd w:id="12"/>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通过对2019年度甘肃省科学院资金支出的经济性、效率性、效益性和公平性进行客观公正的分析评价，全面掌握各研究所绩效完成情况，了解资金使用和管理情况，以及2019年度建设进展和成效情况，总结管理经验，发现问题与不足，进一步加强资金管理，提高资金配置效率和使用效益，为以后年度资金的安排</w:t>
      </w:r>
      <w:r w:rsidRPr="00167FFA">
        <w:rPr>
          <w:rFonts w:ascii="仿宋" w:eastAsia="仿宋" w:hAnsi="仿宋" w:hint="eastAsia"/>
          <w:sz w:val="32"/>
          <w:szCs w:val="32"/>
        </w:rPr>
        <w:lastRenderedPageBreak/>
        <w:t>和分配提供参考依据。</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3" w:name="_Toc14390"/>
      <w:r w:rsidRPr="00167FFA">
        <w:rPr>
          <w:rFonts w:ascii="仿宋" w:eastAsia="仿宋" w:hAnsi="仿宋" w:hint="eastAsia"/>
          <w:b/>
          <w:bCs/>
          <w:sz w:val="32"/>
          <w:szCs w:val="32"/>
        </w:rPr>
        <w:t>（二）绩效评价范围</w:t>
      </w:r>
      <w:bookmarkEnd w:id="13"/>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针对甘肃省科学院2019年度财政专项资金30%项目展开绩效评价。</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4" w:name="_Toc28299"/>
      <w:r w:rsidRPr="00167FFA">
        <w:rPr>
          <w:rFonts w:ascii="仿宋" w:eastAsia="仿宋" w:hAnsi="仿宋" w:hint="eastAsia"/>
          <w:b/>
          <w:bCs/>
          <w:sz w:val="32"/>
          <w:szCs w:val="32"/>
        </w:rPr>
        <w:t>（三）绩效评价依据</w:t>
      </w:r>
      <w:bookmarkEnd w:id="14"/>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1．相关管理办法及通知</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项目支出绩效评价管理办法》（财预〔2020〕10号）、《甘肃省财政厅关于开展2019年度省级预算执行情况绩效评价工作的通知》（甘财绩〔2020〕3号）、《关于规范绩效评价结果等级划分标准的通知》（财预便〔2017〕44号）、《甘肃省级财政专项资金管理办法》（甘财办〔2014〕22号）等相关管理办法。</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2．绩效自评材料</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2019年度甘肃省科学院上报的绩效自评材料；项目承担单位按照绩效评价工作要求提供的相关资料，包括《整体支出绩效自评表》《自评报告》等；项目运行相关管理制度、资金及财务管理制度、财务会计资料等。</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5" w:name="_Toc9100"/>
      <w:r w:rsidRPr="00167FFA">
        <w:rPr>
          <w:rFonts w:ascii="仿宋" w:eastAsia="仿宋" w:hAnsi="仿宋" w:hint="eastAsia"/>
          <w:b/>
          <w:bCs/>
          <w:sz w:val="32"/>
          <w:szCs w:val="32"/>
        </w:rPr>
        <w:t>（四）绩效评价原则</w:t>
      </w:r>
      <w:bookmarkEnd w:id="15"/>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2019年度甘肃省科学院财政资金绩效评价应遵循以下基本原则：</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1．科学规范原则。严格执行规定的程序、按照科学可行的</w:t>
      </w:r>
      <w:r w:rsidRPr="00167FFA">
        <w:rPr>
          <w:rFonts w:ascii="仿宋" w:eastAsia="仿宋" w:hAnsi="仿宋" w:hint="eastAsia"/>
          <w:sz w:val="32"/>
          <w:szCs w:val="32"/>
        </w:rPr>
        <w:lastRenderedPageBreak/>
        <w:t>要求开展绩效评估工作，采用定量与定性分析相结合的方法。</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2．公正公开原则。绩效评估工作的开展符合真实、客观、公正的要求，依法公开并接受监督。</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3．绩效相关原则。指标体系坚持共性与个性指标、管理指标和绩效指标相结合，能够清晰反映支出及产出和效果之间的对应关系。</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4．定性和定量相结合原则。注重财政支出的经济性、效率性和有效性，从定性和定量两个方面对评价对象进行评判。定性评价采取查阅资料、经验判断与观察的方法，定量评价主要考量指标完成进度。</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6" w:name="_Toc20478"/>
      <w:r w:rsidRPr="00167FFA">
        <w:rPr>
          <w:rFonts w:ascii="仿宋" w:eastAsia="仿宋" w:hAnsi="仿宋" w:hint="eastAsia"/>
          <w:b/>
          <w:bCs/>
          <w:sz w:val="32"/>
          <w:szCs w:val="32"/>
        </w:rPr>
        <w:t>（五）评价指标体系</w:t>
      </w:r>
      <w:bookmarkEnd w:id="16"/>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按照绩效评价相关规定和要求，指标包括投入、过程、产出、效果。</w:t>
      </w:r>
    </w:p>
    <w:p w:rsidR="005472BD" w:rsidRDefault="004D6A10">
      <w:pPr>
        <w:jc w:val="center"/>
        <w:rPr>
          <w:sz w:val="28"/>
          <w:szCs w:val="22"/>
        </w:rPr>
      </w:pPr>
      <w:r>
        <w:rPr>
          <w:rFonts w:hint="eastAsia"/>
          <w:sz w:val="28"/>
          <w:szCs w:val="22"/>
        </w:rPr>
        <w:t>表</w:t>
      </w:r>
      <w:r>
        <w:rPr>
          <w:rFonts w:hint="eastAsia"/>
          <w:sz w:val="28"/>
          <w:szCs w:val="22"/>
        </w:rPr>
        <w:t xml:space="preserve">2-1 </w:t>
      </w:r>
      <w:r>
        <w:rPr>
          <w:rFonts w:hint="eastAsia"/>
          <w:sz w:val="28"/>
          <w:szCs w:val="22"/>
        </w:rPr>
        <w:t>评价指标体系</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3"/>
        <w:gridCol w:w="994"/>
        <w:gridCol w:w="1268"/>
        <w:gridCol w:w="5642"/>
      </w:tblGrid>
      <w:tr w:rsidR="005472BD">
        <w:trPr>
          <w:trHeight w:val="892"/>
          <w:tblHeader/>
        </w:trPr>
        <w:tc>
          <w:tcPr>
            <w:tcW w:w="993"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b/>
                <w:color w:val="000000"/>
                <w:kern w:val="0"/>
                <w:sz w:val="24"/>
              </w:rPr>
            </w:pPr>
            <w:r>
              <w:rPr>
                <w:rFonts w:ascii="仿宋_GB2312" w:hAnsi="宋体" w:cs="仿宋_GB2312" w:hint="eastAsia"/>
                <w:b/>
                <w:color w:val="000000"/>
                <w:kern w:val="0"/>
                <w:sz w:val="24"/>
              </w:rPr>
              <w:t>一级</w:t>
            </w:r>
          </w:p>
          <w:p w:rsidR="005472BD" w:rsidRDefault="004D6A10">
            <w:pPr>
              <w:widowControl/>
              <w:spacing w:line="400" w:lineRule="exact"/>
              <w:jc w:val="center"/>
              <w:textAlignment w:val="center"/>
              <w:rPr>
                <w:rFonts w:ascii="仿宋_GB2312" w:hAnsi="宋体" w:cs="仿宋_GB2312"/>
                <w:b/>
                <w:color w:val="000000"/>
                <w:sz w:val="24"/>
              </w:rPr>
            </w:pPr>
            <w:r>
              <w:rPr>
                <w:rFonts w:ascii="仿宋_GB2312" w:hAnsi="宋体" w:cs="仿宋_GB2312" w:hint="eastAsia"/>
                <w:b/>
                <w:color w:val="000000"/>
                <w:kern w:val="0"/>
                <w:sz w:val="24"/>
              </w:rPr>
              <w:t>指标</w:t>
            </w:r>
          </w:p>
        </w:tc>
        <w:tc>
          <w:tcPr>
            <w:tcW w:w="994"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b/>
                <w:color w:val="000000"/>
                <w:kern w:val="0"/>
                <w:sz w:val="24"/>
              </w:rPr>
            </w:pPr>
            <w:r>
              <w:rPr>
                <w:rFonts w:ascii="仿宋_GB2312" w:hAnsi="宋体" w:cs="仿宋_GB2312" w:hint="eastAsia"/>
                <w:b/>
                <w:color w:val="000000"/>
                <w:kern w:val="0"/>
                <w:sz w:val="24"/>
              </w:rPr>
              <w:t>二级</w:t>
            </w:r>
          </w:p>
          <w:p w:rsidR="005472BD" w:rsidRDefault="004D6A10">
            <w:pPr>
              <w:widowControl/>
              <w:spacing w:line="400" w:lineRule="exact"/>
              <w:jc w:val="center"/>
              <w:textAlignment w:val="center"/>
              <w:rPr>
                <w:rFonts w:ascii="仿宋_GB2312" w:hAnsi="宋体" w:cs="仿宋_GB2312"/>
                <w:b/>
                <w:color w:val="000000"/>
                <w:sz w:val="24"/>
              </w:rPr>
            </w:pPr>
            <w:r>
              <w:rPr>
                <w:rFonts w:ascii="仿宋_GB2312" w:hAnsi="宋体" w:cs="仿宋_GB2312" w:hint="eastAsia"/>
                <w:b/>
                <w:color w:val="000000"/>
                <w:kern w:val="0"/>
                <w:sz w:val="24"/>
              </w:rPr>
              <w:t>指标</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b/>
                <w:color w:val="000000"/>
                <w:sz w:val="24"/>
              </w:rPr>
            </w:pPr>
            <w:r>
              <w:rPr>
                <w:rFonts w:ascii="仿宋_GB2312" w:hAnsi="宋体" w:cs="仿宋_GB2312" w:hint="eastAsia"/>
                <w:b/>
                <w:color w:val="000000"/>
                <w:kern w:val="0"/>
                <w:sz w:val="24"/>
              </w:rPr>
              <w:t>三级指标</w:t>
            </w:r>
          </w:p>
        </w:tc>
        <w:tc>
          <w:tcPr>
            <w:tcW w:w="5642" w:type="dxa"/>
            <w:shd w:val="clear" w:color="auto" w:fill="auto"/>
            <w:tcMar>
              <w:top w:w="15" w:type="dxa"/>
              <w:left w:w="15" w:type="dxa"/>
              <w:right w:w="15" w:type="dxa"/>
            </w:tcMar>
            <w:vAlign w:val="center"/>
          </w:tcPr>
          <w:p w:rsidR="005472BD" w:rsidRDefault="004D6A10">
            <w:pPr>
              <w:widowControl/>
              <w:spacing w:line="460" w:lineRule="exact"/>
              <w:jc w:val="center"/>
              <w:textAlignment w:val="center"/>
              <w:rPr>
                <w:rFonts w:ascii="仿宋_GB2312" w:hAnsi="宋体" w:cs="仿宋_GB2312"/>
                <w:b/>
                <w:color w:val="000000"/>
                <w:sz w:val="24"/>
              </w:rPr>
            </w:pPr>
            <w:r>
              <w:rPr>
                <w:rFonts w:ascii="仿宋_GB2312" w:hAnsi="宋体" w:cs="仿宋_GB2312" w:hint="eastAsia"/>
                <w:b/>
                <w:color w:val="000000"/>
                <w:kern w:val="0"/>
                <w:sz w:val="24"/>
              </w:rPr>
              <w:t>评价要点</w:t>
            </w:r>
          </w:p>
        </w:tc>
      </w:tr>
      <w:tr w:rsidR="005472BD">
        <w:trPr>
          <w:trHeight w:val="1324"/>
        </w:trPr>
        <w:tc>
          <w:tcPr>
            <w:tcW w:w="993"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投入</w:t>
            </w:r>
          </w:p>
        </w:tc>
        <w:tc>
          <w:tcPr>
            <w:tcW w:w="994"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立项</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立项规范性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项目是否按照规定程序申请设立，立项前是否经过必要的可行性研究或专家论证或风险评价或集体决策等，所提交文件和材料是否合规、完整。</w:t>
            </w:r>
          </w:p>
        </w:tc>
      </w:tr>
      <w:tr w:rsidR="005472BD">
        <w:trPr>
          <w:trHeight w:val="892"/>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kern w:val="0"/>
                <w:sz w:val="24"/>
              </w:rPr>
            </w:pPr>
            <w:r>
              <w:rPr>
                <w:rFonts w:ascii="仿宋_GB2312" w:hAnsi="宋体" w:cs="仿宋_GB2312" w:hint="eastAsia"/>
                <w:color w:val="000000"/>
                <w:kern w:val="0"/>
                <w:sz w:val="24"/>
              </w:rPr>
              <w:t>绩效目标</w:t>
            </w:r>
          </w:p>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合理性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任务目标是否合理，是否</w:t>
            </w:r>
            <w:r>
              <w:rPr>
                <w:rStyle w:val="font31"/>
                <w:rFonts w:hAnsi="宋体" w:hint="default"/>
                <w:sz w:val="24"/>
                <w:szCs w:val="24"/>
              </w:rPr>
              <w:t>符合客观实际，</w:t>
            </w:r>
            <w:r>
              <w:rPr>
                <w:rStyle w:val="font41"/>
                <w:rFonts w:hAnsi="宋体" w:hint="default"/>
                <w:sz w:val="24"/>
                <w:szCs w:val="24"/>
              </w:rPr>
              <w:t>目标是否明确清晰、可衡量、</w:t>
            </w:r>
            <w:r>
              <w:rPr>
                <w:rStyle w:val="font31"/>
                <w:rFonts w:hAnsi="宋体" w:hint="default"/>
                <w:sz w:val="24"/>
                <w:szCs w:val="24"/>
              </w:rPr>
              <w:t>可实现，是否具有时限性</w:t>
            </w:r>
            <w:r>
              <w:rPr>
                <w:rStyle w:val="font41"/>
                <w:rFonts w:hAnsi="宋体" w:hint="default"/>
                <w:sz w:val="24"/>
                <w:szCs w:val="24"/>
              </w:rPr>
              <w:t>。</w:t>
            </w:r>
          </w:p>
        </w:tc>
      </w:tr>
      <w:tr w:rsidR="005472BD">
        <w:trPr>
          <w:trHeight w:val="1324"/>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资金安排与落实</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资金匹配性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项目资金投入，包括地方财政资金投入，自筹资金投入，项目经费支持强度，总预算与任务量是否匹配，来源和规模是否明确。</w:t>
            </w:r>
          </w:p>
        </w:tc>
      </w:tr>
      <w:tr w:rsidR="005472BD">
        <w:trPr>
          <w:trHeight w:val="1324"/>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资金落实</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资金到位情况，地方财政资金、单位自筹资金及其他渠道资金实际到位情况。各类资金到位情况与实际进度的相符性。</w:t>
            </w:r>
          </w:p>
        </w:tc>
      </w:tr>
      <w:tr w:rsidR="005472BD">
        <w:trPr>
          <w:trHeight w:val="892"/>
        </w:trPr>
        <w:tc>
          <w:tcPr>
            <w:tcW w:w="993"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过程</w:t>
            </w:r>
          </w:p>
        </w:tc>
        <w:tc>
          <w:tcPr>
            <w:tcW w:w="994"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业务管理</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kern w:val="0"/>
                <w:sz w:val="24"/>
              </w:rPr>
            </w:pPr>
            <w:r>
              <w:rPr>
                <w:rFonts w:ascii="仿宋_GB2312" w:hAnsi="宋体" w:cs="仿宋_GB2312" w:hint="eastAsia"/>
                <w:color w:val="000000"/>
                <w:kern w:val="0"/>
                <w:sz w:val="24"/>
              </w:rPr>
              <w:t>管理制度</w:t>
            </w:r>
          </w:p>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健全性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是否具备适用于本项目的管理制度、办法或方案；管理制度是否具有可操作性。</w:t>
            </w:r>
          </w:p>
        </w:tc>
      </w:tr>
      <w:tr w:rsidR="005472BD">
        <w:trPr>
          <w:trHeight w:val="1757"/>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kern w:val="0"/>
                <w:sz w:val="24"/>
              </w:rPr>
            </w:pPr>
            <w:r>
              <w:rPr>
                <w:rFonts w:ascii="仿宋_GB2312" w:hAnsi="宋体" w:cs="仿宋_GB2312" w:hint="eastAsia"/>
                <w:color w:val="000000"/>
                <w:kern w:val="0"/>
                <w:sz w:val="24"/>
              </w:rPr>
              <w:t>执行制度</w:t>
            </w:r>
          </w:p>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有效性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项目管理是否遵守有关法律法规和单位建立的各项科研管理规定；项目实施过程中发生的重大事项调整，程序是否规范，手续是否完备；关键资料是否齐全并及时归档；项目实施的支撑条件保障是否落实到位。</w:t>
            </w:r>
          </w:p>
        </w:tc>
      </w:tr>
      <w:tr w:rsidR="005472BD">
        <w:trPr>
          <w:trHeight w:val="1324"/>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财务管理</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管理制度健全性及执行的有效性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是否制定了与项目资金管理相关的内部控制制度，且涵盖科研资金管理的关键环节；科研资金管理办法是否符合国家有关政策。</w:t>
            </w:r>
          </w:p>
        </w:tc>
      </w:tr>
      <w:tr w:rsidR="005472BD">
        <w:trPr>
          <w:trHeight w:val="892"/>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会计基础工作规范性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会计核算是否符合相关规定；其他方面是否遵守会计基础工作规范。</w:t>
            </w:r>
          </w:p>
        </w:tc>
      </w:tr>
      <w:tr w:rsidR="005472BD">
        <w:trPr>
          <w:trHeight w:val="1757"/>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资金使用合规性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是否符合国家财经法规和财务管理制度以及专项资金管理办法的规定；资金的拨付是否有完整的审批程序和手续；是否符合专项预算批复或合同规定的用途；是否存在截留、挤占、挪用、虚列支出等情况。</w:t>
            </w:r>
          </w:p>
        </w:tc>
      </w:tr>
      <w:tr w:rsidR="005472BD">
        <w:trPr>
          <w:trHeight w:val="1757"/>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预算执行及调整情况</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预算执行进度是否与序时进度相符，是否与任务执行进度相匹配；预算执行过程中的预算调整是否必要，调整幅度和频次是否合理，是否按照规定程序和权限进行，手续是否完备规范，资料是否齐全。</w:t>
            </w:r>
          </w:p>
        </w:tc>
      </w:tr>
      <w:tr w:rsidR="005472BD">
        <w:trPr>
          <w:trHeight w:val="1324"/>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kern w:val="0"/>
                <w:sz w:val="24"/>
              </w:rPr>
            </w:pPr>
            <w:r>
              <w:rPr>
                <w:rFonts w:ascii="仿宋_GB2312" w:hAnsi="宋体" w:cs="仿宋_GB2312" w:hint="eastAsia"/>
                <w:color w:val="000000"/>
                <w:kern w:val="0"/>
                <w:sz w:val="24"/>
              </w:rPr>
              <w:t>财务监控</w:t>
            </w:r>
          </w:p>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有效性</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是否制定或具有相应的监控机制；是否采用了相应的财务检查、内部审计等必要的监控措施或手段；是否建立对参与单位资金使用的监控机制。</w:t>
            </w:r>
          </w:p>
        </w:tc>
      </w:tr>
      <w:tr w:rsidR="005472BD">
        <w:trPr>
          <w:trHeight w:val="892"/>
        </w:trPr>
        <w:tc>
          <w:tcPr>
            <w:tcW w:w="993"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lastRenderedPageBreak/>
              <w:t>产出</w:t>
            </w:r>
          </w:p>
        </w:tc>
        <w:tc>
          <w:tcPr>
            <w:tcW w:w="994"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项目产出</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实际完成数量及质量</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任务指标完成数量和质量是否达到既定目标。</w:t>
            </w:r>
          </w:p>
        </w:tc>
      </w:tr>
      <w:tr w:rsidR="005472BD">
        <w:trPr>
          <w:trHeight w:val="892"/>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实际完成及时情况</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各项任务产出指标是否按计划进度完成。</w:t>
            </w:r>
          </w:p>
        </w:tc>
      </w:tr>
      <w:tr w:rsidR="005472BD">
        <w:trPr>
          <w:trHeight w:val="892"/>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项目成本节约情况</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项目在成本控制上是否有有效措施；成本节约情况。</w:t>
            </w:r>
          </w:p>
        </w:tc>
      </w:tr>
      <w:tr w:rsidR="005472BD">
        <w:trPr>
          <w:trHeight w:val="892"/>
        </w:trPr>
        <w:tc>
          <w:tcPr>
            <w:tcW w:w="993" w:type="dxa"/>
            <w:vMerge w:val="restart"/>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效果</w:t>
            </w:r>
          </w:p>
        </w:tc>
        <w:tc>
          <w:tcPr>
            <w:tcW w:w="994"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项目效益</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经济/社会/生态效益</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对经济/社会/生态发展所带来的直接或间接影响情况。</w:t>
            </w:r>
          </w:p>
        </w:tc>
      </w:tr>
      <w:tr w:rsidR="005472BD">
        <w:trPr>
          <w:trHeight w:val="803"/>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满意程度</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满意程度</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服务对象及相关方对项目实施的满意程度。</w:t>
            </w:r>
          </w:p>
        </w:tc>
      </w:tr>
      <w:tr w:rsidR="005472BD">
        <w:trPr>
          <w:trHeight w:val="1767"/>
        </w:trPr>
        <w:tc>
          <w:tcPr>
            <w:tcW w:w="993" w:type="dxa"/>
            <w:vMerge/>
            <w:shd w:val="clear" w:color="auto" w:fill="auto"/>
            <w:tcMar>
              <w:top w:w="15" w:type="dxa"/>
              <w:left w:w="15" w:type="dxa"/>
              <w:right w:w="15" w:type="dxa"/>
            </w:tcMar>
            <w:vAlign w:val="center"/>
          </w:tcPr>
          <w:p w:rsidR="005472BD" w:rsidRDefault="005472BD">
            <w:pPr>
              <w:spacing w:line="400" w:lineRule="exact"/>
              <w:jc w:val="center"/>
              <w:rPr>
                <w:rFonts w:ascii="仿宋_GB2312" w:hAnsi="宋体" w:cs="仿宋_GB2312"/>
                <w:color w:val="000000"/>
                <w:sz w:val="24"/>
              </w:rPr>
            </w:pPr>
          </w:p>
        </w:tc>
        <w:tc>
          <w:tcPr>
            <w:tcW w:w="994"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可持续影响</w:t>
            </w:r>
          </w:p>
        </w:tc>
        <w:tc>
          <w:tcPr>
            <w:tcW w:w="1268" w:type="dxa"/>
            <w:shd w:val="clear" w:color="auto" w:fill="auto"/>
            <w:tcMar>
              <w:top w:w="15" w:type="dxa"/>
              <w:left w:w="15" w:type="dxa"/>
              <w:right w:w="15" w:type="dxa"/>
            </w:tcMar>
            <w:vAlign w:val="center"/>
          </w:tcPr>
          <w:p w:rsidR="005472BD" w:rsidRDefault="004D6A10">
            <w:pPr>
              <w:widowControl/>
              <w:spacing w:line="400" w:lineRule="exact"/>
              <w:jc w:val="center"/>
              <w:textAlignment w:val="center"/>
              <w:rPr>
                <w:rFonts w:ascii="仿宋_GB2312" w:hAnsi="宋体" w:cs="仿宋_GB2312"/>
                <w:color w:val="000000"/>
                <w:sz w:val="24"/>
              </w:rPr>
            </w:pPr>
            <w:r>
              <w:rPr>
                <w:rFonts w:ascii="仿宋_GB2312" w:hAnsi="宋体" w:cs="仿宋_GB2312" w:hint="eastAsia"/>
                <w:color w:val="000000"/>
                <w:kern w:val="0"/>
                <w:sz w:val="24"/>
              </w:rPr>
              <w:t>可持续影响</w:t>
            </w:r>
          </w:p>
        </w:tc>
        <w:tc>
          <w:tcPr>
            <w:tcW w:w="5642" w:type="dxa"/>
            <w:shd w:val="clear" w:color="auto" w:fill="auto"/>
            <w:tcMar>
              <w:top w:w="15" w:type="dxa"/>
              <w:left w:w="15" w:type="dxa"/>
              <w:right w:w="15" w:type="dxa"/>
            </w:tcMar>
            <w:vAlign w:val="center"/>
          </w:tcPr>
          <w:p w:rsidR="005472BD" w:rsidRDefault="004D6A10">
            <w:pPr>
              <w:widowControl/>
              <w:spacing w:line="460" w:lineRule="exact"/>
              <w:textAlignment w:val="center"/>
              <w:rPr>
                <w:rFonts w:ascii="仿宋_GB2312" w:hAnsi="宋体" w:cs="仿宋_GB2312"/>
                <w:color w:val="000000"/>
                <w:sz w:val="24"/>
              </w:rPr>
            </w:pPr>
            <w:r>
              <w:rPr>
                <w:rFonts w:ascii="仿宋_GB2312" w:hAnsi="宋体" w:cs="仿宋_GB2312" w:hint="eastAsia"/>
                <w:color w:val="000000"/>
                <w:kern w:val="0"/>
                <w:sz w:val="24"/>
              </w:rPr>
              <w:t>是否推动了相关领域重大研究的持续、深入、高质量开展；是否对相关领域拥有稳定的高层次人才团队起到了重要支撑作用；是否对项目单位有促进作用，是否对地区经济社会发展能力的有支撑作用。</w:t>
            </w:r>
          </w:p>
        </w:tc>
      </w:tr>
    </w:tbl>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7" w:name="_Toc11767"/>
      <w:r w:rsidRPr="00167FFA">
        <w:rPr>
          <w:rFonts w:ascii="仿宋" w:eastAsia="仿宋" w:hAnsi="仿宋" w:hint="eastAsia"/>
          <w:b/>
          <w:bCs/>
          <w:sz w:val="32"/>
          <w:szCs w:val="32"/>
        </w:rPr>
        <w:t>（六）绩效评价方式方法</w:t>
      </w:r>
      <w:bookmarkEnd w:id="17"/>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1．评价方法</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绩效评价过程中采用方法有问卷调查法、实地调研法、专家评议法、比较法、成本效益分析法、因素分析法等。</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1）实地调研法。第三方机构组织专家组赴甘肃省科学院各研究所进行实地调研，补充搜集绩效评价证据材料，核查项目和资金执行情况。重点对项目资金使用情况、项目执行情况、预期目标完成程度等方面进行监督检查，及时跟进和督导，根据现场检查结果形成相关报告，为综合评价提供参考依据。</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lastRenderedPageBreak/>
        <w:t>（2）专家评议法。第三方机构组织3名专家（含1名财务专家），根据绩效自评材料、现场调研以及收集相关信息资料，对专项资金项目绩效情况进行客观、公正的评价，并参照绩效评价指标进行打分。</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（3）成本效益分析法。将一定时期内的支出与效益进行对比分析，计算投入产出比，评价绩效目标实现程度。</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（4）比较法。通过对绩效目标与实施效果、历史与当期情况、项目同类支出的比较，综合分析绩效目标实现程度。</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（5）因素分析法。通过综合分析影响绩效目标实现、实施效果的内外因素，评价绩效目标实现程度。</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2．绩效评价方式</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绩效评价采取现场调研评价和书面评价相结合的方式进行。甘肃省科学院各研究所按照绩效评价要求，组织本单位对2019年度建设情况进行自评价，形成自评报告，第三方评价机构在自评报告的基础上进行整理分析。同时，评价机构组织专家，选择部分研究所进行实地考察，听取汇报，以《整体支出绩效自评表》《自评报告》等为依据，现场查阅资料，对照项目绩效评价指标进行评判。对未进行实地调研的项目组织专家进行书面评价，为了保证专家衡量标准的一致性，书面评价和现场评价尽量选择同一组专家进行。</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18" w:name="_Toc22800"/>
      <w:r w:rsidRPr="00167FFA">
        <w:rPr>
          <w:rFonts w:ascii="仿宋" w:eastAsia="仿宋" w:hAnsi="仿宋" w:hint="eastAsia"/>
          <w:b/>
          <w:bCs/>
          <w:sz w:val="32"/>
          <w:szCs w:val="32"/>
        </w:rPr>
        <w:t>（七）绩效评价工作流程</w:t>
      </w:r>
      <w:bookmarkEnd w:id="18"/>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lastRenderedPageBreak/>
        <w:t>绩效评价采取定性与定量相结合的方法，充分发挥同行评议的作用，综合运用绩效自评、现场评价和专家评价等方式。绩效评价工作可分为前期准备、评价设计、评价实施和评估结果报告四个阶段。</w:t>
      </w:r>
    </w:p>
    <w:p w:rsidR="005472BD" w:rsidRPr="00167FFA" w:rsidRDefault="004D6A10" w:rsidP="00167FFA">
      <w:pPr>
        <w:spacing w:line="600" w:lineRule="exact"/>
        <w:ind w:firstLineChars="200" w:firstLine="640"/>
        <w:jc w:val="center"/>
        <w:rPr>
          <w:rFonts w:ascii="仿宋" w:eastAsia="仿宋" w:hAnsi="仿宋"/>
          <w:sz w:val="32"/>
          <w:szCs w:val="32"/>
        </w:rPr>
      </w:pPr>
      <w:r w:rsidRPr="00167FFA">
        <w:rPr>
          <w:rFonts w:ascii="仿宋" w:eastAsia="仿宋" w:hAnsi="仿宋"/>
          <w:noProof/>
          <w:sz w:val="32"/>
          <w:szCs w:val="32"/>
        </w:rPr>
        <w:drawing>
          <wp:anchor distT="0" distB="0" distL="0" distR="0" simplePos="0" relativeHeight="251689472" behindDoc="0" locked="0" layoutInCell="1" allowOverlap="1">
            <wp:simplePos x="0" y="0"/>
            <wp:positionH relativeFrom="column">
              <wp:posOffset>843280</wp:posOffset>
            </wp:positionH>
            <wp:positionV relativeFrom="page">
              <wp:posOffset>1405890</wp:posOffset>
            </wp:positionV>
            <wp:extent cx="3599180" cy="3234690"/>
            <wp:effectExtent l="0" t="0" r="1270" b="3810"/>
            <wp:wrapTopAndBottom/>
            <wp:docPr id="118" name="图片 118"/>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99180" cy="3234690"/>
                    </a:xfrm>
                    <a:prstGeom prst="rect">
                      <a:avLst/>
                    </a:prstGeom>
                    <a:noFill/>
                  </pic:spPr>
                </pic:pic>
              </a:graphicData>
            </a:graphic>
          </wp:anchor>
        </w:drawing>
      </w:r>
      <w:r w:rsidRPr="00167FFA">
        <w:rPr>
          <w:rFonts w:ascii="仿宋" w:eastAsia="仿宋" w:hAnsi="仿宋" w:hint="eastAsia"/>
          <w:sz w:val="32"/>
          <w:szCs w:val="32"/>
        </w:rPr>
        <w:t>图2-1  绩效评价工作流程图</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1．前期准备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第三方评价机构成立绩效评价工作小组，根据甘肃省科学院要求，梳理各项任务分工，确定绩效评价对象和内容，明确制定评价工作流程及时间安排，制定绩效评价工作实施方案。</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2．评价设计</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第三方机构根据此次绩效评价自评的目的，结合专项资金特点和年度预算绩效目标，设计《项目绩效评价指标体系》《绩效目标自评表》，拟定《绩效目标自评报告大纲》。</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3．评价实施</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根据有关要求制定并下发绩效自评工作通知，组织甘肃省科学院各研究所按照要求对照项目建设方案开展专项资金的绩效自评工作。</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甘肃省科学院各研究所对资金执行进展及资金绩效目标进行自评，如实填报绩效自评材料。</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第三方评价机构对甘肃省科学院各研究所提交的绩效自评资料进行收集、分类整理，并对自评材料的有关内容进行审核。</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评价机构组织专家组赴甘肃省科学院各研究所开展现场评价，通过查阅账簿、审核资料、座谈交流、实地核查等方式，根据指标体系对绩效情况进行打分，形成专家意见。对未进行实地调研的研究所组织专家进行书面评价，为了保证专家衡量标准的一致性，书面评价和现场评价尽量选择同一组专家进行。</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第三方评价机构邀请参加实地调研的专家组成专家审议组，对实地调研工作进行会议审议。</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4．绩效评价报告</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第三方评价机构在自评报告和书面评价的基础上，对采集的相关基础数据资料进行整理汇总，对甘肃省科学院各研究所资金使用和管理、绩效目标完成情况等方面进行多维度的全面分析，形成绩效评价报告。</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第三方机构组织项目主管单位和协管单位实际负责人以及</w:t>
      </w:r>
      <w:r w:rsidRPr="00167FFA">
        <w:rPr>
          <w:rFonts w:ascii="仿宋" w:eastAsia="仿宋" w:hAnsi="仿宋" w:hint="eastAsia"/>
          <w:sz w:val="32"/>
          <w:szCs w:val="32"/>
        </w:rPr>
        <w:lastRenderedPageBreak/>
        <w:t>同行/领域专家对绩效评价报告进行审议，根据有关方的建议对报告进行修改完善。</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第三方评价机构向甘肃省科学院提交评价报告。</w:t>
      </w:r>
    </w:p>
    <w:p w:rsidR="005472BD" w:rsidRPr="00167FFA" w:rsidRDefault="004D6A10" w:rsidP="00003238">
      <w:pPr>
        <w:spacing w:beforeLines="100" w:afterLines="100" w:line="600" w:lineRule="exact"/>
        <w:ind w:firstLineChars="200" w:firstLine="640"/>
        <w:outlineLvl w:val="0"/>
        <w:rPr>
          <w:rFonts w:ascii="仿宋" w:eastAsia="仿宋" w:hAnsi="仿宋"/>
          <w:sz w:val="32"/>
          <w:szCs w:val="32"/>
        </w:rPr>
      </w:pPr>
      <w:bookmarkStart w:id="19" w:name="_Toc31722"/>
      <w:r w:rsidRPr="00167FFA">
        <w:rPr>
          <w:rFonts w:ascii="仿宋" w:eastAsia="仿宋" w:hAnsi="仿宋" w:hint="eastAsia"/>
          <w:sz w:val="32"/>
          <w:szCs w:val="32"/>
        </w:rPr>
        <w:t>三、综合评价情况及评价结论</w:t>
      </w:r>
      <w:bookmarkEnd w:id="19"/>
    </w:p>
    <w:p w:rsidR="005472BD" w:rsidRPr="00167FFA" w:rsidRDefault="004D6A10" w:rsidP="00167FFA">
      <w:pPr>
        <w:spacing w:line="600" w:lineRule="exact"/>
        <w:ind w:firstLineChars="200" w:firstLine="643"/>
        <w:outlineLvl w:val="1"/>
        <w:rPr>
          <w:rFonts w:ascii="仿宋" w:eastAsia="仿宋" w:hAnsi="仿宋"/>
          <w:b/>
          <w:bCs/>
          <w:sz w:val="32"/>
          <w:szCs w:val="32"/>
          <w:lang w:val="zh-CN"/>
        </w:rPr>
      </w:pPr>
      <w:bookmarkStart w:id="20" w:name="_Toc3417"/>
      <w:bookmarkStart w:id="21" w:name="_Toc27226"/>
      <w:bookmarkStart w:id="22" w:name="_Toc4523"/>
      <w:r w:rsidRPr="00167FFA">
        <w:rPr>
          <w:rFonts w:ascii="仿宋" w:eastAsia="仿宋" w:hAnsi="仿宋" w:hint="eastAsia"/>
          <w:b/>
          <w:bCs/>
          <w:sz w:val="32"/>
          <w:szCs w:val="32"/>
          <w:lang w:val="zh-CN"/>
        </w:rPr>
        <w:t>（一）基本情况</w:t>
      </w:r>
      <w:bookmarkEnd w:id="20"/>
      <w:bookmarkEnd w:id="21"/>
      <w:bookmarkEnd w:id="22"/>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本次绩效评价采取“专家现场调研评价”的形式对28个项目进行绩效评价。第三方评价机构根据评价方案确定的评价程序和规则，组织专家组赴项目承担单位开展现场调研评价，项目专家根据指标体系分投入、过程、产出、效益四个维度对项目实施情况进行综合评价打分。</w:t>
      </w:r>
    </w:p>
    <w:p w:rsidR="005472BD" w:rsidRPr="00167FFA" w:rsidRDefault="004D6A10" w:rsidP="00167FFA">
      <w:pPr>
        <w:spacing w:line="600" w:lineRule="exact"/>
        <w:ind w:firstLineChars="200" w:firstLine="643"/>
        <w:outlineLvl w:val="1"/>
        <w:rPr>
          <w:rFonts w:ascii="仿宋" w:eastAsia="仿宋" w:hAnsi="仿宋"/>
          <w:b/>
          <w:bCs/>
          <w:sz w:val="32"/>
          <w:szCs w:val="32"/>
          <w:lang w:val="zh-CN"/>
        </w:rPr>
      </w:pPr>
      <w:bookmarkStart w:id="23" w:name="_Toc30666"/>
      <w:bookmarkStart w:id="24" w:name="_Toc26137"/>
      <w:r w:rsidRPr="00167FFA">
        <w:rPr>
          <w:rFonts w:ascii="仿宋" w:eastAsia="仿宋" w:hAnsi="仿宋" w:hint="eastAsia"/>
          <w:b/>
          <w:bCs/>
          <w:sz w:val="32"/>
          <w:szCs w:val="32"/>
          <w:lang w:val="zh-CN"/>
        </w:rPr>
        <w:t>（二）绩效评定结果</w:t>
      </w:r>
      <w:bookmarkEnd w:id="23"/>
      <w:bookmarkEnd w:id="24"/>
    </w:p>
    <w:p w:rsidR="005472BD" w:rsidRPr="00167FFA" w:rsidRDefault="004D6A10" w:rsidP="00167FFA">
      <w:pPr>
        <w:spacing w:line="600" w:lineRule="exact"/>
        <w:ind w:firstLineChars="200" w:firstLine="640"/>
        <w:rPr>
          <w:rFonts w:ascii="仿宋" w:eastAsia="仿宋" w:hAnsi="仿宋"/>
          <w:sz w:val="32"/>
          <w:szCs w:val="32"/>
          <w:lang w:val="zh-CN"/>
        </w:rPr>
      </w:pPr>
      <w:r w:rsidRPr="00167FFA">
        <w:rPr>
          <w:rFonts w:ascii="仿宋" w:eastAsia="仿宋" w:hAnsi="仿宋" w:hint="eastAsia"/>
          <w:sz w:val="32"/>
          <w:szCs w:val="32"/>
          <w:lang w:val="zh-CN"/>
        </w:rPr>
        <w:t>根据绩效评价得分，形成“优、良、</w:t>
      </w:r>
      <w:r w:rsidRPr="00167FFA">
        <w:rPr>
          <w:rFonts w:ascii="仿宋" w:eastAsia="仿宋" w:hAnsi="仿宋" w:hint="eastAsia"/>
          <w:sz w:val="32"/>
          <w:szCs w:val="32"/>
        </w:rPr>
        <w:t>中、差</w:t>
      </w:r>
      <w:r w:rsidRPr="00167FFA">
        <w:rPr>
          <w:rFonts w:ascii="仿宋" w:eastAsia="仿宋" w:hAnsi="仿宋" w:hint="eastAsia"/>
          <w:sz w:val="32"/>
          <w:szCs w:val="32"/>
          <w:lang w:val="zh-CN"/>
        </w:rPr>
        <w:t>”四个等级的评价结果。设定绩效评价因素为百分制，级别与分值对应关系如下：</w:t>
      </w:r>
    </w:p>
    <w:p w:rsidR="005472BD" w:rsidRPr="00167FFA" w:rsidRDefault="004D6A10" w:rsidP="00167FFA">
      <w:pPr>
        <w:spacing w:line="600" w:lineRule="exact"/>
        <w:ind w:firstLineChars="200" w:firstLine="640"/>
        <w:rPr>
          <w:rFonts w:ascii="仿宋" w:eastAsia="仿宋" w:hAnsi="仿宋"/>
          <w:sz w:val="32"/>
          <w:szCs w:val="32"/>
          <w:lang w:val="zh-CN"/>
        </w:rPr>
      </w:pPr>
      <w:r w:rsidRPr="00167FFA">
        <w:rPr>
          <w:rFonts w:ascii="仿宋" w:eastAsia="仿宋" w:hAnsi="仿宋" w:hint="eastAsia"/>
          <w:sz w:val="32"/>
          <w:szCs w:val="32"/>
          <w:lang w:val="zh-CN"/>
        </w:rPr>
        <w:t>（1）总得分</w:t>
      </w:r>
      <w:r w:rsidRPr="00167FFA">
        <w:rPr>
          <w:rFonts w:ascii="仿宋" w:eastAsia="仿宋" w:hAnsi="仿宋" w:hint="eastAsia"/>
          <w:sz w:val="32"/>
          <w:szCs w:val="32"/>
        </w:rPr>
        <w:t>90</w:t>
      </w:r>
      <w:r w:rsidRPr="00167FFA">
        <w:rPr>
          <w:rFonts w:ascii="仿宋" w:eastAsia="仿宋" w:hAnsi="仿宋" w:hint="eastAsia"/>
          <w:sz w:val="32"/>
          <w:szCs w:val="32"/>
          <w:lang w:val="zh-CN"/>
        </w:rPr>
        <w:t>分（含</w:t>
      </w:r>
      <w:r w:rsidRPr="00167FFA">
        <w:rPr>
          <w:rFonts w:ascii="仿宋" w:eastAsia="仿宋" w:hAnsi="仿宋" w:hint="eastAsia"/>
          <w:sz w:val="32"/>
          <w:szCs w:val="32"/>
        </w:rPr>
        <w:t>90</w:t>
      </w:r>
      <w:r w:rsidRPr="00167FFA">
        <w:rPr>
          <w:rFonts w:ascii="仿宋" w:eastAsia="仿宋" w:hAnsi="仿宋" w:hint="eastAsia"/>
          <w:sz w:val="32"/>
          <w:szCs w:val="32"/>
          <w:lang w:val="zh-CN"/>
        </w:rPr>
        <w:t>分）以上，绩效级别评定为优；</w:t>
      </w:r>
    </w:p>
    <w:p w:rsidR="005472BD" w:rsidRPr="00167FFA" w:rsidRDefault="004D6A10" w:rsidP="00167FFA">
      <w:pPr>
        <w:spacing w:line="600" w:lineRule="exact"/>
        <w:ind w:firstLineChars="200" w:firstLine="640"/>
        <w:rPr>
          <w:rFonts w:ascii="仿宋" w:eastAsia="仿宋" w:hAnsi="仿宋"/>
          <w:sz w:val="32"/>
          <w:szCs w:val="32"/>
          <w:lang w:val="zh-CN"/>
        </w:rPr>
      </w:pPr>
      <w:r w:rsidRPr="00167FFA">
        <w:rPr>
          <w:rFonts w:ascii="仿宋" w:eastAsia="仿宋" w:hAnsi="仿宋" w:hint="eastAsia"/>
          <w:sz w:val="32"/>
          <w:szCs w:val="32"/>
          <w:lang w:val="zh-CN"/>
        </w:rPr>
        <w:t>（2）总得分</w:t>
      </w:r>
      <w:r w:rsidRPr="00167FFA">
        <w:rPr>
          <w:rFonts w:ascii="仿宋" w:eastAsia="仿宋" w:hAnsi="仿宋" w:hint="eastAsia"/>
          <w:sz w:val="32"/>
          <w:szCs w:val="32"/>
        </w:rPr>
        <w:t>80</w:t>
      </w:r>
      <w:r w:rsidRPr="00167FFA">
        <w:rPr>
          <w:rFonts w:ascii="仿宋" w:eastAsia="仿宋" w:hAnsi="仿宋" w:hint="eastAsia"/>
          <w:sz w:val="32"/>
          <w:szCs w:val="32"/>
          <w:lang w:val="zh-CN"/>
        </w:rPr>
        <w:t>分-</w:t>
      </w:r>
      <w:r w:rsidRPr="00167FFA">
        <w:rPr>
          <w:rFonts w:ascii="仿宋" w:eastAsia="仿宋" w:hAnsi="仿宋" w:hint="eastAsia"/>
          <w:sz w:val="32"/>
          <w:szCs w:val="32"/>
        </w:rPr>
        <w:t>90</w:t>
      </w:r>
      <w:r w:rsidRPr="00167FFA">
        <w:rPr>
          <w:rFonts w:ascii="仿宋" w:eastAsia="仿宋" w:hAnsi="仿宋" w:hint="eastAsia"/>
          <w:sz w:val="32"/>
          <w:szCs w:val="32"/>
          <w:lang w:val="zh-CN"/>
        </w:rPr>
        <w:t>分（含</w:t>
      </w:r>
      <w:r w:rsidRPr="00167FFA">
        <w:rPr>
          <w:rFonts w:ascii="仿宋" w:eastAsia="仿宋" w:hAnsi="仿宋" w:hint="eastAsia"/>
          <w:sz w:val="32"/>
          <w:szCs w:val="32"/>
        </w:rPr>
        <w:t>80</w:t>
      </w:r>
      <w:r w:rsidRPr="00167FFA">
        <w:rPr>
          <w:rFonts w:ascii="仿宋" w:eastAsia="仿宋" w:hAnsi="仿宋" w:hint="eastAsia"/>
          <w:sz w:val="32"/>
          <w:szCs w:val="32"/>
          <w:lang w:val="zh-CN"/>
        </w:rPr>
        <w:t>分），绩效级别评定为良；</w:t>
      </w:r>
    </w:p>
    <w:p w:rsidR="005472BD" w:rsidRPr="00167FFA" w:rsidRDefault="004D6A10" w:rsidP="00167FFA">
      <w:pPr>
        <w:spacing w:line="600" w:lineRule="exact"/>
        <w:ind w:firstLineChars="200" w:firstLine="640"/>
        <w:rPr>
          <w:rFonts w:ascii="仿宋" w:eastAsia="仿宋" w:hAnsi="仿宋"/>
          <w:sz w:val="32"/>
          <w:szCs w:val="32"/>
          <w:lang w:val="zh-CN"/>
        </w:rPr>
      </w:pPr>
      <w:r w:rsidRPr="00167FFA">
        <w:rPr>
          <w:rFonts w:ascii="仿宋" w:eastAsia="仿宋" w:hAnsi="仿宋" w:hint="eastAsia"/>
          <w:sz w:val="32"/>
          <w:szCs w:val="32"/>
          <w:lang w:val="zh-CN"/>
        </w:rPr>
        <w:t>（3）总得分</w:t>
      </w:r>
      <w:r w:rsidRPr="00167FFA">
        <w:rPr>
          <w:rFonts w:ascii="仿宋" w:eastAsia="仿宋" w:hAnsi="仿宋" w:hint="eastAsia"/>
          <w:sz w:val="32"/>
          <w:szCs w:val="32"/>
        </w:rPr>
        <w:t>60</w:t>
      </w:r>
      <w:r w:rsidRPr="00167FFA">
        <w:rPr>
          <w:rFonts w:ascii="仿宋" w:eastAsia="仿宋" w:hAnsi="仿宋" w:hint="eastAsia"/>
          <w:sz w:val="32"/>
          <w:szCs w:val="32"/>
          <w:lang w:val="zh-CN"/>
        </w:rPr>
        <w:t>分-</w:t>
      </w:r>
      <w:r w:rsidRPr="00167FFA">
        <w:rPr>
          <w:rFonts w:ascii="仿宋" w:eastAsia="仿宋" w:hAnsi="仿宋" w:hint="eastAsia"/>
          <w:sz w:val="32"/>
          <w:szCs w:val="32"/>
        </w:rPr>
        <w:t>80</w:t>
      </w:r>
      <w:r w:rsidRPr="00167FFA">
        <w:rPr>
          <w:rFonts w:ascii="仿宋" w:eastAsia="仿宋" w:hAnsi="仿宋" w:hint="eastAsia"/>
          <w:sz w:val="32"/>
          <w:szCs w:val="32"/>
          <w:lang w:val="zh-CN"/>
        </w:rPr>
        <w:t>分（含60分），绩效级别评定为</w:t>
      </w:r>
      <w:r w:rsidRPr="00167FFA">
        <w:rPr>
          <w:rFonts w:ascii="仿宋" w:eastAsia="仿宋" w:hAnsi="仿宋" w:hint="eastAsia"/>
          <w:sz w:val="32"/>
          <w:szCs w:val="32"/>
        </w:rPr>
        <w:t>中</w:t>
      </w:r>
      <w:r w:rsidRPr="00167FFA">
        <w:rPr>
          <w:rFonts w:ascii="仿宋" w:eastAsia="仿宋" w:hAnsi="仿宋" w:hint="eastAsia"/>
          <w:sz w:val="32"/>
          <w:szCs w:val="32"/>
          <w:lang w:val="zh-CN"/>
        </w:rPr>
        <w:t>；</w:t>
      </w:r>
    </w:p>
    <w:p w:rsidR="005472BD" w:rsidRPr="00167FFA" w:rsidRDefault="004D6A10" w:rsidP="00167FFA">
      <w:pPr>
        <w:spacing w:line="600" w:lineRule="exact"/>
        <w:ind w:firstLineChars="200" w:firstLine="640"/>
        <w:rPr>
          <w:rFonts w:ascii="仿宋" w:eastAsia="仿宋" w:hAnsi="仿宋"/>
          <w:sz w:val="32"/>
          <w:szCs w:val="32"/>
          <w:lang w:val="zh-CN"/>
        </w:rPr>
      </w:pPr>
      <w:r w:rsidRPr="00167FFA">
        <w:rPr>
          <w:rFonts w:ascii="仿宋" w:eastAsia="仿宋" w:hAnsi="仿宋" w:hint="eastAsia"/>
          <w:sz w:val="32"/>
          <w:szCs w:val="32"/>
          <w:lang w:val="zh-CN"/>
        </w:rPr>
        <w:t>（4）总得分在60分以下，绩效级别评定为</w:t>
      </w:r>
      <w:r w:rsidRPr="00167FFA">
        <w:rPr>
          <w:rFonts w:ascii="仿宋" w:eastAsia="仿宋" w:hAnsi="仿宋" w:hint="eastAsia"/>
          <w:sz w:val="32"/>
          <w:szCs w:val="32"/>
        </w:rPr>
        <w:t>差</w:t>
      </w:r>
      <w:r w:rsidRPr="00167FFA">
        <w:rPr>
          <w:rFonts w:ascii="仿宋" w:eastAsia="仿宋" w:hAnsi="仿宋" w:hint="eastAsia"/>
          <w:sz w:val="32"/>
          <w:szCs w:val="32"/>
          <w:lang w:val="zh-CN"/>
        </w:rPr>
        <w:t>。</w:t>
      </w:r>
    </w:p>
    <w:p w:rsidR="005472BD" w:rsidRPr="00167FFA" w:rsidRDefault="004D6A10" w:rsidP="00167FFA">
      <w:pPr>
        <w:spacing w:line="600" w:lineRule="exact"/>
        <w:ind w:firstLineChars="200" w:firstLine="640"/>
        <w:rPr>
          <w:rFonts w:ascii="仿宋" w:eastAsia="仿宋" w:hAnsi="仿宋"/>
          <w:sz w:val="32"/>
          <w:szCs w:val="32"/>
          <w:lang w:val="zh-CN"/>
        </w:rPr>
      </w:pPr>
      <w:r w:rsidRPr="00167FFA">
        <w:rPr>
          <w:rFonts w:ascii="仿宋" w:eastAsia="仿宋" w:hAnsi="仿宋" w:hint="eastAsia"/>
          <w:sz w:val="32"/>
          <w:szCs w:val="32"/>
          <w:lang w:val="zh-CN"/>
        </w:rPr>
        <w:t>第三方机构按照绩效评价方案安排，邀请2名技术专家和1名财务专家于</w:t>
      </w:r>
      <w:r w:rsidRPr="00167FFA">
        <w:rPr>
          <w:rFonts w:ascii="仿宋" w:eastAsia="仿宋" w:hAnsi="仿宋" w:hint="eastAsia"/>
          <w:sz w:val="32"/>
          <w:szCs w:val="32"/>
        </w:rPr>
        <w:t>6</w:t>
      </w:r>
      <w:r w:rsidRPr="00167FFA">
        <w:rPr>
          <w:rFonts w:ascii="仿宋" w:eastAsia="仿宋" w:hAnsi="仿宋" w:hint="eastAsia"/>
          <w:sz w:val="32"/>
          <w:szCs w:val="32"/>
          <w:lang w:val="zh-CN"/>
        </w:rPr>
        <w:t>月</w:t>
      </w:r>
      <w:r w:rsidRPr="00167FFA">
        <w:rPr>
          <w:rFonts w:ascii="仿宋" w:eastAsia="仿宋" w:hAnsi="仿宋" w:hint="eastAsia"/>
          <w:sz w:val="32"/>
          <w:szCs w:val="32"/>
        </w:rPr>
        <w:t>18</w:t>
      </w:r>
      <w:r w:rsidRPr="00167FFA">
        <w:rPr>
          <w:rFonts w:ascii="仿宋" w:eastAsia="仿宋" w:hAnsi="仿宋" w:hint="eastAsia"/>
          <w:sz w:val="32"/>
          <w:szCs w:val="32"/>
          <w:lang w:val="zh-CN"/>
        </w:rPr>
        <w:t>日——</w:t>
      </w:r>
      <w:r w:rsidRPr="00167FFA">
        <w:rPr>
          <w:rFonts w:ascii="仿宋" w:eastAsia="仿宋" w:hAnsi="仿宋" w:hint="eastAsia"/>
          <w:sz w:val="32"/>
          <w:szCs w:val="32"/>
        </w:rPr>
        <w:t>6月19日</w:t>
      </w:r>
      <w:r w:rsidRPr="00167FFA">
        <w:rPr>
          <w:rFonts w:ascii="仿宋" w:eastAsia="仿宋" w:hAnsi="仿宋" w:hint="eastAsia"/>
          <w:sz w:val="32"/>
          <w:szCs w:val="32"/>
          <w:lang w:val="zh-CN"/>
        </w:rPr>
        <w:t>赴</w:t>
      </w:r>
      <w:r w:rsidRPr="00167FFA">
        <w:rPr>
          <w:rFonts w:ascii="仿宋" w:eastAsia="仿宋" w:hAnsi="仿宋" w:hint="eastAsia"/>
          <w:sz w:val="32"/>
          <w:szCs w:val="32"/>
        </w:rPr>
        <w:t>甘肃省科学院</w:t>
      </w:r>
      <w:r w:rsidRPr="00167FFA">
        <w:rPr>
          <w:rFonts w:ascii="仿宋" w:eastAsia="仿宋" w:hAnsi="仿宋" w:hint="eastAsia"/>
          <w:sz w:val="32"/>
          <w:szCs w:val="32"/>
          <w:lang w:val="zh-CN"/>
        </w:rPr>
        <w:t>进行实地调研，专家通过现场听取汇报、座谈交流、审核资料、查阅账簿、实地核查等方式，并依据上述绩效评价指标体系从项目绩效情</w:t>
      </w:r>
      <w:r w:rsidRPr="00167FFA">
        <w:rPr>
          <w:rFonts w:ascii="仿宋" w:eastAsia="仿宋" w:hAnsi="仿宋" w:hint="eastAsia"/>
          <w:sz w:val="32"/>
          <w:szCs w:val="32"/>
          <w:lang w:val="zh-CN"/>
        </w:rPr>
        <w:lastRenderedPageBreak/>
        <w:t>况、资金使用管理以及组织实施等三个维度对专项资金绩效情况做出评价。第三方机构对专家打分进行平均</w:t>
      </w:r>
      <w:r w:rsidRPr="00167FFA">
        <w:rPr>
          <w:rFonts w:ascii="仿宋" w:eastAsia="仿宋" w:hAnsi="仿宋" w:hint="eastAsia"/>
          <w:sz w:val="32"/>
          <w:szCs w:val="32"/>
        </w:rPr>
        <w:t>汇总</w:t>
      </w:r>
      <w:r w:rsidRPr="00167FFA">
        <w:rPr>
          <w:rFonts w:ascii="仿宋" w:eastAsia="仿宋" w:hAnsi="仿宋" w:hint="eastAsia"/>
          <w:sz w:val="32"/>
          <w:szCs w:val="32"/>
          <w:lang w:val="zh-CN"/>
        </w:rPr>
        <w:t>得到如下结果。</w:t>
      </w:r>
    </w:p>
    <w:p w:rsidR="005472BD" w:rsidRDefault="005472BD">
      <w:pPr>
        <w:spacing w:line="600" w:lineRule="exact"/>
        <w:ind w:firstLineChars="200" w:firstLine="600"/>
        <w:rPr>
          <w:lang w:val="zh-CN"/>
        </w:rPr>
        <w:sectPr w:rsidR="005472BD">
          <w:pgSz w:w="11900" w:h="16838"/>
          <w:pgMar w:top="1984" w:right="1531" w:bottom="1701" w:left="1531" w:header="851" w:footer="992" w:gutter="0"/>
          <w:cols w:space="720"/>
          <w:docGrid w:linePitch="381"/>
        </w:sectPr>
      </w:pPr>
    </w:p>
    <w:p w:rsidR="005472BD" w:rsidRDefault="004D6A10">
      <w:pPr>
        <w:spacing w:line="500" w:lineRule="exact"/>
        <w:ind w:right="160"/>
        <w:jc w:val="center"/>
        <w:rPr>
          <w:rFonts w:eastAsia="黑体"/>
          <w:sz w:val="28"/>
          <w:szCs w:val="22"/>
        </w:rPr>
      </w:pPr>
      <w:r>
        <w:rPr>
          <w:color w:val="000000"/>
          <w:sz w:val="28"/>
          <w:szCs w:val="20"/>
        </w:rPr>
        <w:lastRenderedPageBreak/>
        <w:t>表</w:t>
      </w:r>
      <w:r>
        <w:rPr>
          <w:rFonts w:hint="eastAsia"/>
          <w:color w:val="000000"/>
          <w:sz w:val="28"/>
          <w:szCs w:val="20"/>
        </w:rPr>
        <w:t>3-1</w:t>
      </w:r>
      <w:r>
        <w:rPr>
          <w:color w:val="000000"/>
          <w:sz w:val="28"/>
          <w:szCs w:val="20"/>
        </w:rPr>
        <w:t xml:space="preserve">  </w:t>
      </w:r>
      <w:r>
        <w:rPr>
          <w:color w:val="000000"/>
          <w:sz w:val="28"/>
          <w:szCs w:val="20"/>
        </w:rPr>
        <w:t>项目</w:t>
      </w:r>
      <w:r>
        <w:rPr>
          <w:rFonts w:hint="eastAsia"/>
          <w:color w:val="000000"/>
          <w:sz w:val="28"/>
          <w:szCs w:val="20"/>
        </w:rPr>
        <w:t>绩效</w:t>
      </w:r>
      <w:r>
        <w:rPr>
          <w:color w:val="000000"/>
          <w:sz w:val="28"/>
          <w:szCs w:val="20"/>
        </w:rPr>
        <w:t>评价</w:t>
      </w:r>
      <w:r>
        <w:rPr>
          <w:rFonts w:hint="eastAsia"/>
          <w:color w:val="000000"/>
          <w:sz w:val="28"/>
          <w:szCs w:val="20"/>
        </w:rPr>
        <w:t>综合得分及评价</w:t>
      </w:r>
      <w:r>
        <w:rPr>
          <w:color w:val="000000"/>
          <w:sz w:val="28"/>
          <w:szCs w:val="20"/>
        </w:rPr>
        <w:t>等级</w:t>
      </w:r>
    </w:p>
    <w:tbl>
      <w:tblPr>
        <w:tblW w:w="14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44"/>
        <w:gridCol w:w="3601"/>
        <w:gridCol w:w="1853"/>
        <w:gridCol w:w="2132"/>
        <w:gridCol w:w="973"/>
        <w:gridCol w:w="973"/>
        <w:gridCol w:w="973"/>
        <w:gridCol w:w="973"/>
        <w:gridCol w:w="973"/>
        <w:gridCol w:w="1038"/>
      </w:tblGrid>
      <w:tr w:rsidR="005472BD">
        <w:trPr>
          <w:trHeight w:val="770"/>
          <w:tblHeader/>
          <w:jc w:val="center"/>
        </w:trPr>
        <w:tc>
          <w:tcPr>
            <w:tcW w:w="844"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序号</w:t>
            </w:r>
          </w:p>
        </w:tc>
        <w:tc>
          <w:tcPr>
            <w:tcW w:w="3601"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项目名称</w:t>
            </w:r>
          </w:p>
        </w:tc>
        <w:tc>
          <w:tcPr>
            <w:tcW w:w="1853"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项目类别</w:t>
            </w:r>
          </w:p>
        </w:tc>
        <w:tc>
          <w:tcPr>
            <w:tcW w:w="2132"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项目承担单位</w:t>
            </w:r>
          </w:p>
        </w:tc>
        <w:tc>
          <w:tcPr>
            <w:tcW w:w="973"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kern w:val="0"/>
                <w:sz w:val="24"/>
              </w:rPr>
            </w:pPr>
            <w:r>
              <w:rPr>
                <w:rFonts w:ascii="仿宋_GB2312" w:hAnsi="仿宋_GB2312" w:cs="仿宋_GB2312" w:hint="eastAsia"/>
                <w:color w:val="000000"/>
                <w:kern w:val="0"/>
                <w:sz w:val="24"/>
              </w:rPr>
              <w:t>投入</w:t>
            </w:r>
          </w:p>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（12分）</w:t>
            </w:r>
          </w:p>
        </w:tc>
        <w:tc>
          <w:tcPr>
            <w:tcW w:w="973"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kern w:val="0"/>
                <w:sz w:val="24"/>
              </w:rPr>
            </w:pPr>
            <w:r>
              <w:rPr>
                <w:rFonts w:ascii="仿宋_GB2312" w:hAnsi="仿宋_GB2312" w:cs="仿宋_GB2312" w:hint="eastAsia"/>
                <w:color w:val="000000"/>
                <w:kern w:val="0"/>
                <w:sz w:val="24"/>
              </w:rPr>
              <w:t>过程</w:t>
            </w:r>
          </w:p>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（23分）</w:t>
            </w:r>
          </w:p>
        </w:tc>
        <w:tc>
          <w:tcPr>
            <w:tcW w:w="973"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kern w:val="0"/>
                <w:sz w:val="24"/>
              </w:rPr>
            </w:pPr>
            <w:r>
              <w:rPr>
                <w:rFonts w:ascii="仿宋_GB2312" w:hAnsi="仿宋_GB2312" w:cs="仿宋_GB2312" w:hint="eastAsia"/>
                <w:color w:val="000000"/>
                <w:kern w:val="0"/>
                <w:sz w:val="24"/>
              </w:rPr>
              <w:t>产出</w:t>
            </w:r>
          </w:p>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（40分）</w:t>
            </w:r>
          </w:p>
        </w:tc>
        <w:tc>
          <w:tcPr>
            <w:tcW w:w="973"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kern w:val="0"/>
                <w:sz w:val="24"/>
              </w:rPr>
            </w:pPr>
            <w:r>
              <w:rPr>
                <w:rFonts w:ascii="仿宋_GB2312" w:hAnsi="仿宋_GB2312" w:cs="仿宋_GB2312" w:hint="eastAsia"/>
                <w:color w:val="000000"/>
                <w:kern w:val="0"/>
                <w:sz w:val="24"/>
              </w:rPr>
              <w:t>效果</w:t>
            </w:r>
          </w:p>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（25分）</w:t>
            </w:r>
          </w:p>
        </w:tc>
        <w:tc>
          <w:tcPr>
            <w:tcW w:w="973" w:type="dxa"/>
            <w:shd w:val="clear" w:color="auto" w:fill="4F81BD"/>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kern w:val="0"/>
                <w:sz w:val="24"/>
              </w:rPr>
            </w:pPr>
            <w:r>
              <w:rPr>
                <w:rFonts w:ascii="仿宋_GB2312" w:hAnsi="仿宋_GB2312" w:cs="仿宋_GB2312" w:hint="eastAsia"/>
                <w:color w:val="000000"/>
                <w:kern w:val="0"/>
                <w:sz w:val="24"/>
              </w:rPr>
              <w:t>综合</w:t>
            </w:r>
          </w:p>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得分</w:t>
            </w:r>
          </w:p>
        </w:tc>
        <w:tc>
          <w:tcPr>
            <w:tcW w:w="1038" w:type="dxa"/>
            <w:shd w:val="clear" w:color="auto" w:fill="4F81BD"/>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kern w:val="0"/>
                <w:sz w:val="24"/>
              </w:rPr>
            </w:pPr>
            <w:r>
              <w:rPr>
                <w:rFonts w:ascii="仿宋_GB2312" w:hAnsi="仿宋_GB2312" w:cs="仿宋_GB2312" w:hint="eastAsia"/>
                <w:color w:val="000000"/>
                <w:kern w:val="0"/>
                <w:sz w:val="24"/>
              </w:rPr>
              <w:t>评价</w:t>
            </w:r>
          </w:p>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等级</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线性巨磁阻MEMS传感器的关键技术研究及器件研发项目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36.00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91.33</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乏燃料后处理混合澄清槽长轴搅拌器研制项目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磁性器件研究所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36.00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90.67</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地质灾害防治与生态地质环境修复创新团队项目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人才引进与培养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36.33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90.67</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4</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奶牛养殖废弃物生物处理与利用关键技术及装备研发项目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34.00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5</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基于GIS的智慧太平大数据系统开发及应用研究项目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36.67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90.33</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6</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高性能生物纳米磁珠的产业化项目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36.00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永磁传动及轴承技术设备创新团队项目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人才引进与培养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磁性器件研究所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90.00</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巨磁阻MEMS转速传感器的产业化项目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90.00</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sz w:val="24"/>
              </w:rPr>
              <w:t>优</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9</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抗菌肽LactoferricinB 融合蛋白的抗肿瘤成药性研究项目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34.00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89.67</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基于GMR效应的金属材料裂纹涡流探伤仪的研制项目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89.67</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一种用于输送带颗粒介质的无轴封永磁传动泵项目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磁性器件研究所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89.67</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设施化羊肚菌中试生产项目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29.67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30.33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89.33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13</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农牧废弃物生物处理与利用创新团队项目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人才引进与培养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34.33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18.00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89.00</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14</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白银分院设备购置费项目</w:t>
            </w:r>
          </w:p>
        </w:tc>
        <w:tc>
          <w:tcPr>
            <w:tcW w:w="185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科研基础能力建设类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实验工厂</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12.00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87.67</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15</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智慧博物馆相关技术研发与示范应用项目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自动化研究所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23.33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87.00</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泾川县柴胡种植技术扶贫示范与技术培训项目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33.00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86.67</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南山绿化上水管网改造项目</w:t>
            </w:r>
          </w:p>
        </w:tc>
        <w:tc>
          <w:tcPr>
            <w:tcW w:w="185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科研基础能力建设类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后勤中心</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15.67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86.67</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18</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甘肃自然保护区矿山生态修复关键技术研究项目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33.67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86.33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19</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主战坦克专用纳米润滑油产品开发项目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实验工厂</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35.33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15.33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86.33</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20</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纳米硅肥制备及对旱地玉米的增效作用研究项目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34.33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86.33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21</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面向大视场的虚拟阵列成像系统研发项目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传感技术研究所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33.33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85.67</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22</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馆藏文物数字化及活态化技术研发创新团队项目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人才引进与培养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自动化研究所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33.67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85.33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23</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甘肃省陇南地区泥石流治理工程效果评价项目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7.33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16.00</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23.67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85.33</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高性能纳米永磁材料开发项目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实验工厂</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23.67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34.00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85.33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25</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利用养殖场废水生产多粘类芽孢杆菌菌剂项目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宋体" w:cs="仿宋_GB2312" w:hint="eastAsia"/>
                <w:color w:val="000000"/>
                <w:kern w:val="0"/>
                <w:sz w:val="24"/>
              </w:rPr>
              <w:t>11.67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宋体" w:cs="仿宋_GB2312" w:hint="eastAsia"/>
                <w:color w:val="000000"/>
                <w:kern w:val="0"/>
                <w:sz w:val="24"/>
              </w:rPr>
              <w:t>24.67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宋体" w:cs="仿宋_GB2312" w:hint="eastAsia"/>
                <w:color w:val="000000"/>
                <w:kern w:val="0"/>
                <w:sz w:val="24"/>
              </w:rPr>
              <w:t>32.33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宋体" w:cs="仿宋_GB2312" w:hint="eastAsia"/>
                <w:color w:val="000000"/>
                <w:kern w:val="0"/>
                <w:sz w:val="24"/>
              </w:rPr>
              <w:t>16.67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85.33</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26</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河西走廊浅埋线性工程大型水毁防治技术研究与应用项目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地质自然灾害防治研究所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32.33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85.00</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70"/>
          <w:jc w:val="center"/>
        </w:trPr>
        <w:tc>
          <w:tcPr>
            <w:tcW w:w="844"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lastRenderedPageBreak/>
              <w:t>27</w:t>
            </w:r>
          </w:p>
        </w:tc>
        <w:tc>
          <w:tcPr>
            <w:tcW w:w="3601" w:type="dxa"/>
            <w:shd w:val="clear" w:color="auto" w:fill="E9EDF4"/>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甘肃贝母固氮菌筛选及肥效功能研究项目</w:t>
            </w:r>
          </w:p>
        </w:tc>
        <w:tc>
          <w:tcPr>
            <w:tcW w:w="1853"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应用研发类</w:t>
            </w:r>
          </w:p>
        </w:tc>
        <w:tc>
          <w:tcPr>
            <w:tcW w:w="2132"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生物研究所</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10.33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24.67</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31.33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17.33</w:t>
            </w:r>
          </w:p>
        </w:tc>
        <w:tc>
          <w:tcPr>
            <w:tcW w:w="973" w:type="dxa"/>
            <w:shd w:val="clear" w:color="auto" w:fill="E9EDF4"/>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83.67</w:t>
            </w:r>
          </w:p>
        </w:tc>
        <w:tc>
          <w:tcPr>
            <w:tcW w:w="1038" w:type="dxa"/>
            <w:shd w:val="clear" w:color="auto" w:fill="E9EDF4"/>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r w:rsidR="005472BD">
        <w:trPr>
          <w:trHeight w:val="791"/>
          <w:jc w:val="center"/>
        </w:trPr>
        <w:tc>
          <w:tcPr>
            <w:tcW w:w="844"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28</w:t>
            </w:r>
          </w:p>
        </w:tc>
        <w:tc>
          <w:tcPr>
            <w:tcW w:w="3601" w:type="dxa"/>
            <w:shd w:val="clear" w:color="auto" w:fill="FFFFFF"/>
            <w:tcMar>
              <w:top w:w="15" w:type="dxa"/>
              <w:left w:w="15" w:type="dxa"/>
              <w:right w:w="15" w:type="dxa"/>
            </w:tcMar>
            <w:vAlign w:val="center"/>
          </w:tcPr>
          <w:p w:rsidR="005472BD" w:rsidRDefault="004D6A10">
            <w:pPr>
              <w:widowControl/>
              <w:jc w:val="left"/>
              <w:textAlignment w:val="center"/>
              <w:rPr>
                <w:rFonts w:ascii="仿宋_GB2312" w:hAnsi="仿宋_GB2312" w:cs="仿宋_GB2312"/>
                <w:color w:val="000000"/>
                <w:sz w:val="24"/>
              </w:rPr>
            </w:pPr>
            <w:r>
              <w:rPr>
                <w:rFonts w:ascii="仿宋_GB2312" w:hAnsi="仿宋_GB2312" w:cs="仿宋_GB2312" w:hint="eastAsia"/>
                <w:color w:val="000000"/>
                <w:kern w:val="0"/>
                <w:sz w:val="24"/>
              </w:rPr>
              <w:t>农村饮用水水质处理一体化设备产业化研发项目</w:t>
            </w:r>
          </w:p>
        </w:tc>
        <w:tc>
          <w:tcPr>
            <w:tcW w:w="1853"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高新技术产业化</w:t>
            </w:r>
          </w:p>
        </w:tc>
        <w:tc>
          <w:tcPr>
            <w:tcW w:w="2132"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自动化研究所</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11.33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24.00</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31.67</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16.33</w:t>
            </w:r>
          </w:p>
        </w:tc>
        <w:tc>
          <w:tcPr>
            <w:tcW w:w="973" w:type="dxa"/>
            <w:shd w:val="clear" w:color="auto" w:fill="FFFFFF"/>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83.33</w:t>
            </w:r>
          </w:p>
        </w:tc>
        <w:tc>
          <w:tcPr>
            <w:tcW w:w="1038" w:type="dxa"/>
            <w:shd w:val="clear" w:color="auto" w:fill="FFFFFF"/>
            <w:noWrap/>
            <w:tcMar>
              <w:top w:w="15" w:type="dxa"/>
              <w:left w:w="15" w:type="dxa"/>
              <w:right w:w="15" w:type="dxa"/>
            </w:tcMar>
            <w:vAlign w:val="center"/>
          </w:tcPr>
          <w:p w:rsidR="005472BD" w:rsidRDefault="004D6A10">
            <w:pPr>
              <w:widowControl/>
              <w:jc w:val="center"/>
              <w:textAlignment w:val="center"/>
              <w:rPr>
                <w:rFonts w:ascii="仿宋_GB2312" w:hAnsi="仿宋_GB2312" w:cs="仿宋_GB2312"/>
                <w:color w:val="000000"/>
                <w:sz w:val="24"/>
              </w:rPr>
            </w:pPr>
            <w:r>
              <w:rPr>
                <w:rFonts w:ascii="仿宋_GB2312" w:hAnsi="仿宋_GB2312" w:cs="仿宋_GB2312" w:hint="eastAsia"/>
                <w:color w:val="000000"/>
                <w:kern w:val="0"/>
                <w:sz w:val="24"/>
              </w:rPr>
              <w:t>良</w:t>
            </w:r>
          </w:p>
        </w:tc>
      </w:tr>
    </w:tbl>
    <w:p w:rsidR="005472BD" w:rsidRDefault="005472BD">
      <w:pPr>
        <w:spacing w:line="600" w:lineRule="exact"/>
        <w:ind w:firstLineChars="200" w:firstLine="600"/>
      </w:pPr>
    </w:p>
    <w:p w:rsidR="005472BD" w:rsidRDefault="005472BD">
      <w:pPr>
        <w:spacing w:line="600" w:lineRule="exact"/>
        <w:ind w:firstLineChars="200" w:firstLine="600"/>
        <w:sectPr w:rsidR="005472BD">
          <w:pgSz w:w="16838" w:h="11900" w:orient="landscape"/>
          <w:pgMar w:top="1531" w:right="1984" w:bottom="1531" w:left="1701" w:header="851" w:footer="992" w:gutter="0"/>
          <w:cols w:space="720"/>
          <w:docGrid w:linePitch="381"/>
        </w:sectPr>
      </w:pP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lastRenderedPageBreak/>
        <w:t>从表中可以看出，甘肃省科学院2019年度财政专项资金30%的项目整体评价较好，其中，绩效评价等级为“优”的有8个，占28.57%，分别为传感技术研究所“线性巨磁阻MEMS传感器的关键技术研究及器件研发”项目、“高性能生物纳米磁珠的产业化”项目、“巨磁阻MEMS转速传感器的产业化”项目，磁性器件研究所“乏燃料后处理混合澄清槽长轴搅拌器研制”项目、“永磁传动及轴承技术设备创新团队”项目，地质自然灾害防治研究所“地质灾害防治与生态地质环境修复创新团队”项目、“基于GIS的智慧太平大数据系统开发及应用研究”项目，生物研究所“奶牛养殖废弃物生物处理与利用关键技术及装备研发”项目。其他项目绩效评价综合得分均在80-90之间，等级为良。</w:t>
      </w:r>
    </w:p>
    <w:p w:rsidR="005472BD" w:rsidRPr="00167FFA" w:rsidRDefault="004D6A10" w:rsidP="00003238">
      <w:pPr>
        <w:spacing w:beforeLines="80" w:afterLines="80" w:line="600" w:lineRule="exact"/>
        <w:ind w:firstLineChars="200" w:firstLine="643"/>
        <w:outlineLvl w:val="1"/>
        <w:rPr>
          <w:rFonts w:ascii="仿宋" w:eastAsia="仿宋" w:hAnsi="仿宋"/>
          <w:b/>
          <w:bCs/>
          <w:sz w:val="32"/>
          <w:szCs w:val="32"/>
        </w:rPr>
      </w:pPr>
      <w:bookmarkStart w:id="25" w:name="_Toc30252"/>
      <w:bookmarkStart w:id="26" w:name="_Toc1903"/>
      <w:bookmarkStart w:id="27" w:name="_Toc9371"/>
      <w:r w:rsidRPr="00167FFA">
        <w:rPr>
          <w:rFonts w:ascii="仿宋" w:eastAsia="仿宋" w:hAnsi="仿宋" w:hint="eastAsia"/>
          <w:b/>
          <w:bCs/>
          <w:sz w:val="32"/>
          <w:szCs w:val="32"/>
        </w:rPr>
        <w:t>（三）综合评价分析</w:t>
      </w:r>
      <w:bookmarkEnd w:id="25"/>
      <w:bookmarkEnd w:id="26"/>
      <w:bookmarkEnd w:id="27"/>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甘肃省科学院2019年度财政专项资金严格按照任务书执行，按时完成阶段性任务，总体进展良好，主要绩效目标已基本完成。项目经费实行预算管理，严格按照国家财务、会计制度的有关规定进行账务处理，依法依规使用项目资金，充分发挥了财政科技资金使用效益。通过甘肃省科学院2019年度财政专项资金的实施，着重加强了科研条件和基础能力建设，有力推进了一批科技成果的示范应用，加快促进了科技与经济紧密结合，更好的发挥了科技创新对经济社会发展的支撑引领作用。</w:t>
      </w:r>
    </w:p>
    <w:p w:rsidR="005472BD" w:rsidRPr="00167FFA" w:rsidRDefault="004D6A10">
      <w:pPr>
        <w:rPr>
          <w:rFonts w:ascii="仿宋" w:eastAsia="仿宋" w:hAnsi="仿宋"/>
          <w:b/>
          <w:bCs/>
          <w:sz w:val="32"/>
          <w:szCs w:val="32"/>
        </w:rPr>
      </w:pPr>
      <w:r w:rsidRPr="00167FFA">
        <w:rPr>
          <w:rFonts w:ascii="仿宋" w:eastAsia="仿宋" w:hAnsi="仿宋" w:hint="eastAsia"/>
          <w:b/>
          <w:bCs/>
          <w:sz w:val="32"/>
          <w:szCs w:val="32"/>
        </w:rPr>
        <w:br w:type="page"/>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1．抗菌肽LactoferricinB融合蛋白的抗肿瘤成药性研究项目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8"/>
        <w:gridCol w:w="4586"/>
      </w:tblGrid>
      <w:tr w:rsidR="005472BD" w:rsidRPr="00167FFA">
        <w:trPr>
          <w:trHeight w:val="7268"/>
        </w:trPr>
        <w:tc>
          <w:tcPr>
            <w:tcW w:w="9054" w:type="dxa"/>
            <w:gridSpan w:val="2"/>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生物研究所承担的应用研发类项目“抗菌肽LactoferricinB融合蛋白的抗肿瘤成药性研究”利用基因工程重组技术构建并表达融合蛋白，获得半衰期较长，活性较好的LactoferricinB融合蛋白，弥补LactoferricinB小肽在临床中注射频率较高的缺点，为该抗肿瘤生成候选药物的临床应用奠定基础，助力我省生物医药产业的发展。目前改造完成细胞培养室和细胞无菌操作实验室约36m</w:t>
            </w:r>
            <w:r w:rsidRPr="00167FFA">
              <w:rPr>
                <w:rFonts w:ascii="仿宋" w:eastAsia="仿宋" w:hAnsi="仿宋" w:hint="eastAsia"/>
                <w:sz w:val="32"/>
                <w:szCs w:val="32"/>
                <w:vertAlign w:val="superscript"/>
              </w:rPr>
              <w:t>2</w:t>
            </w:r>
            <w:r w:rsidRPr="00167FFA">
              <w:rPr>
                <w:rFonts w:ascii="仿宋" w:eastAsia="仿宋" w:hAnsi="仿宋" w:hint="eastAsia"/>
                <w:sz w:val="32"/>
                <w:szCs w:val="32"/>
              </w:rPr>
              <w:t>，采购基础实验仪器设备12台（套）。项目组成员参加了在北京举办的“第十九届中国生物制品年会暨庆祝中国生物百年华诞大会”，进一步了解了“重组治疗性生物制品”、“生物制药工程技术”、“生物医药投融资”等相关领域的最新科研和产业动态，以及应用及全球市场情况。该项目管理规范，年度任务明确，管理制度健全，取得了预期成果和一定绩效。</w:t>
            </w:r>
          </w:p>
        </w:tc>
      </w:tr>
      <w:tr w:rsidR="005472BD" w:rsidRPr="00167FFA">
        <w:tc>
          <w:tcPr>
            <w:tcW w:w="9054" w:type="dxa"/>
            <w:gridSpan w:val="2"/>
          </w:tcPr>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加强项目预算管理，细化项目年度预算；加快平台建设季度，尽快为研发提供技术支撑。</w:t>
            </w:r>
          </w:p>
        </w:tc>
      </w:tr>
      <w:tr w:rsidR="005472BD">
        <w:trPr>
          <w:trHeight w:val="3637"/>
        </w:trPr>
        <w:tc>
          <w:tcPr>
            <w:tcW w:w="4527" w:type="dxa"/>
          </w:tcPr>
          <w:p w:rsidR="005472BD" w:rsidRDefault="004D6A10">
            <w:pPr>
              <w:spacing w:line="600" w:lineRule="exact"/>
              <w:jc w:val="center"/>
            </w:pPr>
            <w:r>
              <w:rPr>
                <w:rFonts w:hint="eastAsia"/>
                <w:sz w:val="24"/>
              </w:rPr>
              <w:lastRenderedPageBreak/>
              <w:t>项目使用的生物所分子生物学科研平台</w:t>
            </w:r>
            <w:r>
              <w:rPr>
                <w:rFonts w:ascii="仿宋_GB2312" w:hAnsi="仿宋_GB2312" w:cs="仿宋_GB2312"/>
                <w:noProof/>
                <w:kern w:val="0"/>
                <w:sz w:val="28"/>
                <w:szCs w:val="28"/>
              </w:rPr>
              <w:drawing>
                <wp:anchor distT="0" distB="0" distL="114300" distR="114300" simplePos="0" relativeHeight="251629056" behindDoc="1" locked="0" layoutInCell="1" allowOverlap="1">
                  <wp:simplePos x="0" y="0"/>
                  <wp:positionH relativeFrom="column">
                    <wp:posOffset>9525</wp:posOffset>
                  </wp:positionH>
                  <wp:positionV relativeFrom="page">
                    <wp:posOffset>51435</wp:posOffset>
                  </wp:positionV>
                  <wp:extent cx="2729230" cy="2127885"/>
                  <wp:effectExtent l="0" t="0" r="13970" b="5715"/>
                  <wp:wrapTight wrapText="bothSides">
                    <wp:wrapPolygon edited="0">
                      <wp:start x="0" y="0"/>
                      <wp:lineTo x="0" y="21465"/>
                      <wp:lineTo x="21409" y="21465"/>
                      <wp:lineTo x="21409" y="0"/>
                      <wp:lineTo x="0" y="0"/>
                    </wp:wrapPolygon>
                  </wp:wrapTight>
                  <wp:docPr id="14" name="图片 14" descr="综合一楼102 (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综合一楼102 (2) - 副本"/>
                          <pic:cNvPicPr>
                            <a:picLocks noChangeAspect="1"/>
                          </pic:cNvPicPr>
                        </pic:nvPicPr>
                        <pic:blipFill>
                          <a:blip r:embed="rId11"/>
                          <a:stretch>
                            <a:fillRect/>
                          </a:stretch>
                        </pic:blipFill>
                        <pic:spPr>
                          <a:xfrm>
                            <a:off x="0" y="0"/>
                            <a:ext cx="2729230" cy="2127885"/>
                          </a:xfrm>
                          <a:prstGeom prst="rect">
                            <a:avLst/>
                          </a:prstGeom>
                        </pic:spPr>
                      </pic:pic>
                    </a:graphicData>
                  </a:graphic>
                </wp:anchor>
              </w:drawing>
            </w:r>
          </w:p>
        </w:tc>
        <w:tc>
          <w:tcPr>
            <w:tcW w:w="4527" w:type="dxa"/>
          </w:tcPr>
          <w:p w:rsidR="005472BD" w:rsidRDefault="004D6A10">
            <w:pPr>
              <w:spacing w:line="600" w:lineRule="exact"/>
              <w:jc w:val="center"/>
            </w:pPr>
            <w:r>
              <w:rPr>
                <w:rFonts w:hint="eastAsia"/>
                <w:sz w:val="24"/>
              </w:rPr>
              <w:t>Lactoferricin B</w:t>
            </w:r>
            <w:r>
              <w:rPr>
                <w:rFonts w:hint="eastAsia"/>
                <w:sz w:val="24"/>
              </w:rPr>
              <w:t>融合基因产物测序结果</w:t>
            </w:r>
            <w:r>
              <w:rPr>
                <w:rFonts w:eastAsia="宋体"/>
                <w:noProof/>
                <w:sz w:val="21"/>
              </w:rPr>
              <w:drawing>
                <wp:anchor distT="0" distB="0" distL="114300" distR="114300" simplePos="0" relativeHeight="251625984" behindDoc="1" locked="0" layoutInCell="1" allowOverlap="1">
                  <wp:simplePos x="0" y="0"/>
                  <wp:positionH relativeFrom="column">
                    <wp:posOffset>-48895</wp:posOffset>
                  </wp:positionH>
                  <wp:positionV relativeFrom="page">
                    <wp:posOffset>40640</wp:posOffset>
                  </wp:positionV>
                  <wp:extent cx="2816860" cy="2152015"/>
                  <wp:effectExtent l="0" t="0" r="2540" b="635"/>
                  <wp:wrapTight wrapText="bothSides">
                    <wp:wrapPolygon edited="0">
                      <wp:start x="0" y="0"/>
                      <wp:lineTo x="0" y="21415"/>
                      <wp:lineTo x="21473" y="21415"/>
                      <wp:lineTo x="2147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2816860" cy="2152015"/>
                          </a:xfrm>
                          <a:prstGeom prst="rect">
                            <a:avLst/>
                          </a:prstGeom>
                          <a:noFill/>
                          <a:ln>
                            <a:noFill/>
                          </a:ln>
                        </pic:spPr>
                      </pic:pic>
                    </a:graphicData>
                  </a:graphic>
                </wp:anchor>
              </w:drawing>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2．奶牛养殖废弃物生物处理与利用关键技术及装备研发项目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2"/>
        <w:gridCol w:w="4512"/>
      </w:tblGrid>
      <w:tr w:rsidR="005472BD" w:rsidRPr="00167FFA">
        <w:trPr>
          <w:trHeight w:val="7268"/>
        </w:trPr>
        <w:tc>
          <w:tcPr>
            <w:tcW w:w="9054" w:type="dxa"/>
            <w:gridSpan w:val="2"/>
          </w:tcPr>
          <w:p w:rsidR="005472BD" w:rsidRPr="00167FFA" w:rsidRDefault="004D6A10" w:rsidP="00167FFA">
            <w:pPr>
              <w:spacing w:line="600" w:lineRule="exact"/>
              <w:ind w:firstLineChars="200" w:firstLine="640"/>
              <w:outlineLvl w:val="2"/>
              <w:rPr>
                <w:rFonts w:ascii="仿宋" w:eastAsia="仿宋" w:hAnsi="仿宋" w:cs="华文楷体"/>
                <w:b/>
                <w:bCs/>
                <w:sz w:val="32"/>
                <w:szCs w:val="32"/>
              </w:rPr>
            </w:pPr>
            <w:r w:rsidRPr="00167FFA">
              <w:rPr>
                <w:rFonts w:ascii="仿宋" w:eastAsia="仿宋" w:hAnsi="仿宋" w:hint="eastAsia"/>
                <w:sz w:val="32"/>
                <w:szCs w:val="32"/>
              </w:rPr>
              <w:t>由生物研究所承担的应用研发类项目“奶牛养殖废弃物生物处理与利用关键技术及装备研发”拟进行奶牛养殖过程废弃物高效循环利用技术体系及装备研发，形成以奶牛养殖废弃物为主原料的微生物液体菌肥生产等技术；建成适宜养殖小区、大型养殖企业的农牧高效循环模式示范基地。目前培养博士后1名，硕士1名，引进人才1名。建立了院地合作实验，新增仪器、设备数台，包括双联机械搅拌式发酵罐、喷雾干燥机、均质机、培养箱、人工气候箱、烘箱、BOD测定仪、水质测定仪、溶氧仪、pH计、水浴锅等；建成适合河西地区规模化固体粪肥生物发酵设备1套，形成养殖粪水分离液资源化生物处理设备1套；针对企业开展相关培训5次，累计培训企业技术人员50余人；提交专利申请4项。该项目按计划进行，已取得明显的社会效益，具有良好</w:t>
            </w:r>
            <w:r w:rsidRPr="00167FFA">
              <w:rPr>
                <w:rFonts w:ascii="仿宋" w:eastAsia="仿宋" w:hAnsi="仿宋" w:hint="eastAsia"/>
                <w:sz w:val="32"/>
                <w:szCs w:val="32"/>
              </w:rPr>
              <w:lastRenderedPageBreak/>
              <w:t>的发展前景。</w:t>
            </w:r>
          </w:p>
        </w:tc>
      </w:tr>
      <w:tr w:rsidR="005472BD" w:rsidRPr="00167FFA">
        <w:tc>
          <w:tcPr>
            <w:tcW w:w="9054" w:type="dxa"/>
            <w:gridSpan w:val="2"/>
          </w:tcPr>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：加强项目预算管理，细化项目年度预算；加强研发资金配套能力；扩大项目的产业化。</w:t>
            </w:r>
          </w:p>
        </w:tc>
      </w:tr>
      <w:tr w:rsidR="005472BD">
        <w:trPr>
          <w:trHeight w:val="2963"/>
        </w:trPr>
        <w:tc>
          <w:tcPr>
            <w:tcW w:w="4527" w:type="dxa"/>
          </w:tcPr>
          <w:p w:rsidR="005472BD" w:rsidRDefault="004D6A10">
            <w:pPr>
              <w:spacing w:line="600" w:lineRule="exact"/>
              <w:jc w:val="center"/>
              <w:outlineLvl w:val="2"/>
              <w:rPr>
                <w:rFonts w:ascii="华文楷体" w:eastAsia="华文楷体" w:hAnsi="华文楷体" w:cs="华文楷体"/>
                <w:b/>
                <w:bCs/>
              </w:rPr>
            </w:pPr>
            <w:r>
              <w:rPr>
                <w:rFonts w:hint="eastAsia"/>
                <w:sz w:val="24"/>
              </w:rPr>
              <w:t>河西地区规模化固体粪肥生物发酵设备</w:t>
            </w:r>
            <w:r>
              <w:rPr>
                <w:rFonts w:eastAsia="宋体"/>
                <w:noProof/>
              </w:rPr>
              <w:drawing>
                <wp:anchor distT="0" distB="0" distL="0" distR="0" simplePos="0" relativeHeight="251631104" behindDoc="1" locked="0" layoutInCell="1" allowOverlap="1">
                  <wp:simplePos x="0" y="0"/>
                  <wp:positionH relativeFrom="column">
                    <wp:posOffset>0</wp:posOffset>
                  </wp:positionH>
                  <wp:positionV relativeFrom="page">
                    <wp:posOffset>53975</wp:posOffset>
                  </wp:positionV>
                  <wp:extent cx="2789555" cy="2083435"/>
                  <wp:effectExtent l="0" t="0" r="10795" b="0"/>
                  <wp:wrapTight wrapText="bothSides">
                    <wp:wrapPolygon edited="0">
                      <wp:start x="0" y="0"/>
                      <wp:lineTo x="0" y="21330"/>
                      <wp:lineTo x="21389" y="21330"/>
                      <wp:lineTo x="21389" y="0"/>
                      <wp:lineTo x="0" y="0"/>
                    </wp:wrapPolygon>
                  </wp:wrapTight>
                  <wp:docPr id="2053" name="Picture 5" descr="C:\Users\Administrator\Documents\Tencent Files\153380101\FileRecv\MobileFile\mmexport153413035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Administrator\Documents\Tencent Files\153380101\FileRecv\MobileFile\mmexport1534130352795.jpg"/>
                          <pic:cNvPicPr>
                            <a:picLocks noChangeAspect="1" noChangeArrowheads="1"/>
                          </pic:cNvPicPr>
                        </pic:nvPicPr>
                        <pic:blipFill>
                          <a:blip r:embed="rId13" cstate="print"/>
                          <a:srcRect/>
                          <a:stretch>
                            <a:fillRect/>
                          </a:stretch>
                        </pic:blipFill>
                        <pic:spPr>
                          <a:xfrm>
                            <a:off x="0" y="0"/>
                            <a:ext cx="2793203" cy="2083435"/>
                          </a:xfrm>
                          <a:prstGeom prst="rect">
                            <a:avLst/>
                          </a:prstGeom>
                          <a:noFill/>
                        </pic:spPr>
                      </pic:pic>
                    </a:graphicData>
                  </a:graphic>
                </wp:anchor>
              </w:drawing>
            </w:r>
          </w:p>
        </w:tc>
        <w:tc>
          <w:tcPr>
            <w:tcW w:w="4527" w:type="dxa"/>
          </w:tcPr>
          <w:p w:rsidR="005472BD" w:rsidRDefault="004D6A10">
            <w:pPr>
              <w:spacing w:line="600" w:lineRule="exact"/>
              <w:jc w:val="center"/>
              <w:outlineLvl w:val="2"/>
              <w:rPr>
                <w:rFonts w:ascii="华文楷体" w:eastAsia="华文楷体" w:hAnsi="华文楷体" w:cs="华文楷体"/>
                <w:b/>
                <w:bCs/>
              </w:rPr>
            </w:pPr>
            <w:r>
              <w:rPr>
                <w:rFonts w:eastAsia="宋体"/>
                <w:noProof/>
              </w:rPr>
              <w:drawing>
                <wp:anchor distT="0" distB="0" distL="0" distR="0" simplePos="0" relativeHeight="251630080" behindDoc="1" locked="0" layoutInCell="1" allowOverlap="1">
                  <wp:simplePos x="0" y="0"/>
                  <wp:positionH relativeFrom="column">
                    <wp:posOffset>-10160</wp:posOffset>
                  </wp:positionH>
                  <wp:positionV relativeFrom="page">
                    <wp:posOffset>46990</wp:posOffset>
                  </wp:positionV>
                  <wp:extent cx="2777490" cy="2092960"/>
                  <wp:effectExtent l="0" t="0" r="3810" b="0"/>
                  <wp:wrapTight wrapText="bothSides">
                    <wp:wrapPolygon edited="0">
                      <wp:start x="0" y="0"/>
                      <wp:lineTo x="0" y="21430"/>
                      <wp:lineTo x="21481" y="21430"/>
                      <wp:lineTo x="21481" y="0"/>
                      <wp:lineTo x="0" y="0"/>
                    </wp:wrapPolygon>
                  </wp:wrapTight>
                  <wp:docPr id="4" name="Picture 2" descr="C:\Users\Administrator\Desktop\华瑞阶段汇报\20180726_16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istrator\Desktop\华瑞阶段汇报\20180726_160718.jpg"/>
                          <pic:cNvPicPr>
                            <a:picLocks noChangeAspect="1" noChangeArrowheads="1"/>
                          </pic:cNvPicPr>
                        </pic:nvPicPr>
                        <pic:blipFill>
                          <a:blip r:embed="rId14" cstate="print"/>
                          <a:srcRect/>
                          <a:stretch>
                            <a:fillRect/>
                          </a:stretch>
                        </pic:blipFill>
                        <pic:spPr>
                          <a:xfrm>
                            <a:off x="0" y="0"/>
                            <a:ext cx="2777490" cy="2092960"/>
                          </a:xfrm>
                          <a:prstGeom prst="rect">
                            <a:avLst/>
                          </a:prstGeom>
                          <a:noFill/>
                        </pic:spPr>
                      </pic:pic>
                    </a:graphicData>
                  </a:graphic>
                </wp:anchor>
              </w:drawing>
            </w:r>
            <w:r>
              <w:rPr>
                <w:rFonts w:hint="eastAsia"/>
                <w:sz w:val="24"/>
              </w:rPr>
              <w:t>养殖粪水分离液资源化生物处理设备</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3．甘肃贝母固氮菌筛选及肥效功能研究项目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c>
          <w:tcPr>
            <w:tcW w:w="9054" w:type="dxa"/>
            <w:gridSpan w:val="2"/>
          </w:tcPr>
          <w:p w:rsidR="005472BD" w:rsidRPr="00167FFA" w:rsidRDefault="004D6A10" w:rsidP="00167FFA">
            <w:pPr>
              <w:spacing w:line="600" w:lineRule="exact"/>
              <w:ind w:firstLineChars="200" w:firstLine="640"/>
              <w:outlineLvl w:val="2"/>
              <w:rPr>
                <w:rFonts w:ascii="仿宋" w:eastAsia="仿宋" w:hAnsi="仿宋" w:cs="华文楷体"/>
                <w:b/>
                <w:bCs/>
                <w:sz w:val="32"/>
                <w:szCs w:val="32"/>
              </w:rPr>
            </w:pPr>
            <w:r w:rsidRPr="00167FFA">
              <w:rPr>
                <w:rFonts w:ascii="仿宋" w:eastAsia="仿宋" w:hAnsi="仿宋" w:hint="eastAsia"/>
                <w:sz w:val="32"/>
                <w:szCs w:val="32"/>
              </w:rPr>
              <w:t>由生物研究所承担的应用研发类项目“甘肃贝母固氮菌筛选及肥效功能研究”围绕甘肃贝母建立栽培试验示范基地，目前已建立特色试验示范基地2个，与相关农民专业合作社合作，边研发边示范，对合作社人员进行技术服务，践行了科技惠农政策，受到被服务对象的高度好评。目前，建立甘肃贝母益生内生菌库1个（其中细菌13株，真菌2株），研发病害生防菌产品1个，有效将镰刀菌影起的根腐病、立枯病发病率降低到10%以下。已申请国家发明专利3项，在中文核心期刊投稿研究论文1篇。分别在平凉市华亭县和兰州市榆中县与马峡镇中药材种植合作社，马坡乡冠中合作社合作建立甘肃贝母驯化栽培和拟境栽培试验示范基地，开展生态种植相关技术的研究与技术服务10次。项目目前处于研发阶段，推进顺利，相关产品在合作社进行了试验示范，得到了相关合作社的认可。</w:t>
            </w:r>
          </w:p>
        </w:tc>
      </w:tr>
      <w:tr w:rsidR="005472BD">
        <w:tc>
          <w:tcPr>
            <w:tcW w:w="9054" w:type="dxa"/>
            <w:gridSpan w:val="2"/>
          </w:tcPr>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：加强项目预算管理，细化年度预算；进一步加强企业合作，推广成果。</w:t>
            </w:r>
          </w:p>
        </w:tc>
      </w:tr>
      <w:tr w:rsidR="005472BD">
        <w:trPr>
          <w:trHeight w:val="3967"/>
        </w:trPr>
        <w:tc>
          <w:tcPr>
            <w:tcW w:w="4527" w:type="dxa"/>
          </w:tcPr>
          <w:p w:rsidR="005472BD" w:rsidRDefault="004D6A10">
            <w:pPr>
              <w:spacing w:line="600" w:lineRule="exact"/>
              <w:jc w:val="center"/>
              <w:outlineLvl w:val="2"/>
              <w:rPr>
                <w:rFonts w:ascii="华文楷体" w:eastAsia="华文楷体" w:hAnsi="华文楷体" w:cs="华文楷体"/>
                <w:b/>
                <w:bCs/>
              </w:rPr>
            </w:pPr>
            <w:r>
              <w:rPr>
                <w:rFonts w:hint="eastAsia"/>
                <w:sz w:val="24"/>
              </w:rPr>
              <w:lastRenderedPageBreak/>
              <w:t>和平试验基地甘肃贝母无土栽培</w:t>
            </w:r>
            <w:r>
              <w:rPr>
                <w:rFonts w:ascii="仿宋_GB2312" w:hAnsi="仿宋_GB2312" w:cs="仿宋_GB2312"/>
                <w:noProof/>
                <w:kern w:val="0"/>
                <w:sz w:val="28"/>
                <w:szCs w:val="28"/>
              </w:rPr>
              <w:drawing>
                <wp:anchor distT="0" distB="0" distL="0" distR="0" simplePos="0" relativeHeight="251632128" behindDoc="1" locked="0" layoutInCell="1" allowOverlap="1">
                  <wp:simplePos x="0" y="0"/>
                  <wp:positionH relativeFrom="column">
                    <wp:posOffset>53340</wp:posOffset>
                  </wp:positionH>
                  <wp:positionV relativeFrom="paragraph">
                    <wp:posOffset>33655</wp:posOffset>
                  </wp:positionV>
                  <wp:extent cx="2698115" cy="2085340"/>
                  <wp:effectExtent l="0" t="0" r="6985" b="0"/>
                  <wp:wrapTight wrapText="bothSides">
                    <wp:wrapPolygon edited="0">
                      <wp:start x="0" y="0"/>
                      <wp:lineTo x="0" y="21311"/>
                      <wp:lineTo x="21503" y="21311"/>
                      <wp:lineTo x="21503" y="0"/>
                      <wp:lineTo x="0" y="0"/>
                    </wp:wrapPolygon>
                  </wp:wrapTight>
                  <wp:docPr id="7" name="图片 7" descr="E:\2020年工作\贝母项目进展\和平基地贝母出苗\3eecf96eb2bdc905dfb241a3fc29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0年工作\贝母项目进展\和平基地贝母出苗\3eecf96eb2bdc905dfb241a3fc29fc5.jpg"/>
                          <pic:cNvPicPr>
                            <a:picLocks noChangeAspect="1" noChangeArrowheads="1"/>
                          </pic:cNvPicPr>
                        </pic:nvPicPr>
                        <pic:blipFill>
                          <a:blip r:embed="rId15"/>
                          <a:srcRect/>
                          <a:stretch>
                            <a:fillRect/>
                          </a:stretch>
                        </pic:blipFill>
                        <pic:spPr>
                          <a:xfrm>
                            <a:off x="0" y="0"/>
                            <a:ext cx="2698115" cy="2085340"/>
                          </a:xfrm>
                          <a:prstGeom prst="rect">
                            <a:avLst/>
                          </a:prstGeom>
                          <a:noFill/>
                          <a:ln w="9525">
                            <a:noFill/>
                            <a:miter lim="800000"/>
                            <a:headEnd/>
                            <a:tailEnd/>
                          </a:ln>
                        </pic:spPr>
                      </pic:pic>
                    </a:graphicData>
                  </a:graphic>
                </wp:anchor>
              </w:drawing>
            </w:r>
          </w:p>
        </w:tc>
        <w:tc>
          <w:tcPr>
            <w:tcW w:w="4527" w:type="dxa"/>
          </w:tcPr>
          <w:p w:rsidR="005472BD" w:rsidRDefault="004D6A10">
            <w:pPr>
              <w:spacing w:line="600" w:lineRule="exact"/>
              <w:jc w:val="center"/>
              <w:outlineLvl w:val="2"/>
              <w:rPr>
                <w:sz w:val="24"/>
              </w:rPr>
            </w:pPr>
            <w:r>
              <w:rPr>
                <w:rFonts w:hint="eastAsia"/>
                <w:noProof/>
                <w:sz w:val="24"/>
              </w:rPr>
              <w:drawing>
                <wp:anchor distT="0" distB="0" distL="0" distR="0" simplePos="0" relativeHeight="251633152" behindDoc="1" locked="0" layoutInCell="1" allowOverlap="1">
                  <wp:simplePos x="0" y="0"/>
                  <wp:positionH relativeFrom="column">
                    <wp:posOffset>0</wp:posOffset>
                  </wp:positionH>
                  <wp:positionV relativeFrom="paragraph">
                    <wp:posOffset>30480</wp:posOffset>
                  </wp:positionV>
                  <wp:extent cx="2643505" cy="2089785"/>
                  <wp:effectExtent l="0" t="0" r="4445" b="0"/>
                  <wp:wrapTight wrapText="bothSides">
                    <wp:wrapPolygon edited="0">
                      <wp:start x="0" y="0"/>
                      <wp:lineTo x="0" y="21462"/>
                      <wp:lineTo x="21481" y="21462"/>
                      <wp:lineTo x="21481" y="0"/>
                      <wp:lineTo x="0" y="0"/>
                    </wp:wrapPolygon>
                  </wp:wrapTight>
                  <wp:docPr id="8" name="图片 8" descr="E:\2020年工作\贝母项目进展\华亭贝母照片\e97351655db0dbc233c4beba549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0年工作\贝母项目进展\华亭贝母照片\e97351655db0dbc233c4beba5494514.jpg"/>
                          <pic:cNvPicPr>
                            <a:picLocks noChangeAspect="1" noChangeArrowheads="1"/>
                          </pic:cNvPicPr>
                        </pic:nvPicPr>
                        <pic:blipFill>
                          <a:blip r:embed="rId16"/>
                          <a:srcRect/>
                          <a:stretch>
                            <a:fillRect/>
                          </a:stretch>
                        </pic:blipFill>
                        <pic:spPr>
                          <a:xfrm>
                            <a:off x="0" y="0"/>
                            <a:ext cx="2643505" cy="2089785"/>
                          </a:xfrm>
                          <a:prstGeom prst="rect">
                            <a:avLst/>
                          </a:prstGeom>
                          <a:noFill/>
                          <a:ln w="9525">
                            <a:noFill/>
                            <a:miter lim="800000"/>
                            <a:headEnd/>
                            <a:tailEnd/>
                          </a:ln>
                        </pic:spPr>
                      </pic:pic>
                    </a:graphicData>
                  </a:graphic>
                </wp:anchor>
              </w:drawing>
            </w:r>
            <w:r>
              <w:rPr>
                <w:rFonts w:hint="eastAsia"/>
                <w:sz w:val="24"/>
              </w:rPr>
              <w:t>华亭试验基地甘肃贝母驯化栽培</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4．河西走廊浅埋线性工程大型水毁防治技术研究与应用项目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c>
          <w:tcPr>
            <w:tcW w:w="9054" w:type="dxa"/>
            <w:gridSpan w:val="2"/>
          </w:tcPr>
          <w:p w:rsidR="005472BD" w:rsidRPr="00167FFA" w:rsidRDefault="004D6A10" w:rsidP="00167FFA">
            <w:pPr>
              <w:spacing w:line="600" w:lineRule="exact"/>
              <w:ind w:firstLineChars="200" w:firstLine="640"/>
              <w:outlineLvl w:val="2"/>
              <w:rPr>
                <w:rFonts w:ascii="仿宋" w:eastAsia="仿宋" w:hAnsi="仿宋" w:cs="华文楷体"/>
                <w:b/>
                <w:bCs/>
                <w:sz w:val="32"/>
                <w:szCs w:val="32"/>
              </w:rPr>
            </w:pPr>
            <w:r w:rsidRPr="00167FFA">
              <w:rPr>
                <w:rFonts w:ascii="仿宋" w:eastAsia="仿宋" w:hAnsi="仿宋" w:hint="eastAsia"/>
                <w:sz w:val="32"/>
                <w:szCs w:val="32"/>
              </w:rPr>
              <w:t>由地质自然灾害防治研究所承担的应用研发类项目“河西走廊浅埋线性工程大型水毁防治技术研究与应用”主要用于指导浅埋线性工程大型水毁防治工程设计，同时为油气管道行业地质灾害防治提供技术支撑。项目组在课题研究的同时，为酒泉输油气分公司、甘肃输油气分公司等企业提供技术支持，编制了“管道地质灾害调查与风险评价”报告，潜在的经济效益显著。通过调查、评价河西走廊浅埋线性工程已有水工防护效果，分析不足之处，浅埋线性工程斜穿水毁区水毁发育机理等，构建浅埋线性工程大型水毁综合防治体系。撰写了1篇科技论文，提供技术咨询6次，编写技术咨询报告2份，参加学术研讨会3次。通过技术研发和科研成果应用，在保护甘肃省河西走廊油气管道安全运营的同时，加强了甘肃省科学院地质自然灾害防治研究所与中石油</w:t>
            </w:r>
            <w:r w:rsidRPr="00167FFA">
              <w:rPr>
                <w:rFonts w:ascii="仿宋" w:eastAsia="仿宋" w:hAnsi="仿宋" w:hint="eastAsia"/>
                <w:sz w:val="32"/>
                <w:szCs w:val="32"/>
              </w:rPr>
              <w:lastRenderedPageBreak/>
              <w:t>管道公司的合作，扩大了院所社会影响力，为社会中更多的企业提供技术服务。</w:t>
            </w:r>
          </w:p>
        </w:tc>
      </w:tr>
      <w:tr w:rsidR="005472BD" w:rsidRPr="00167FFA">
        <w:tc>
          <w:tcPr>
            <w:tcW w:w="9054" w:type="dxa"/>
            <w:gridSpan w:val="2"/>
          </w:tcPr>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选择典型浅埋线性工程，形成不同防治技术模式；将成果服务社会，进行推广。</w:t>
            </w:r>
          </w:p>
        </w:tc>
      </w:tr>
      <w:tr w:rsidR="005472BD">
        <w:trPr>
          <w:trHeight w:val="1385"/>
        </w:trPr>
        <w:tc>
          <w:tcPr>
            <w:tcW w:w="4527" w:type="dxa"/>
          </w:tcPr>
          <w:p w:rsidR="005472BD" w:rsidRDefault="004D6A10">
            <w:pPr>
              <w:widowControl/>
              <w:jc w:val="center"/>
              <w:rPr>
                <w:rFonts w:ascii="华文楷体" w:eastAsia="华文楷体" w:hAnsi="华文楷体" w:cs="华文楷体"/>
                <w:b/>
                <w:bCs/>
              </w:rPr>
            </w:pPr>
            <w:r>
              <w:rPr>
                <w:noProof/>
              </w:rPr>
              <w:drawing>
                <wp:anchor distT="0" distB="0" distL="114300" distR="114300" simplePos="0" relativeHeight="251639296" behindDoc="1" locked="0" layoutInCell="1" allowOverlap="1">
                  <wp:simplePos x="0" y="0"/>
                  <wp:positionH relativeFrom="column">
                    <wp:posOffset>10795</wp:posOffset>
                  </wp:positionH>
                  <wp:positionV relativeFrom="paragraph">
                    <wp:posOffset>26035</wp:posOffset>
                  </wp:positionV>
                  <wp:extent cx="2698750" cy="1889760"/>
                  <wp:effectExtent l="0" t="0" r="6350" b="0"/>
                  <wp:wrapTight wrapText="bothSides">
                    <wp:wrapPolygon edited="0">
                      <wp:start x="0" y="0"/>
                      <wp:lineTo x="0" y="21339"/>
                      <wp:lineTo x="21498" y="21339"/>
                      <wp:lineTo x="21498" y="0"/>
                      <wp:lineTo x="0" y="0"/>
                    </wp:wrapPolygon>
                  </wp:wrapT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2698750" cy="1889760"/>
                          </a:xfrm>
                          <a:prstGeom prst="rect">
                            <a:avLst/>
                          </a:prstGeom>
                          <a:noFill/>
                          <a:ln>
                            <a:noFill/>
                          </a:ln>
                        </pic:spPr>
                      </pic:pic>
                    </a:graphicData>
                  </a:graphic>
                </wp:anchor>
              </w:drawing>
            </w:r>
            <w:r>
              <w:rPr>
                <w:rFonts w:hint="eastAsia"/>
                <w:sz w:val="24"/>
                <w:szCs w:val="21"/>
              </w:rPr>
              <w:t>杨家坝河大型水工保护工程</w:t>
            </w:r>
          </w:p>
        </w:tc>
        <w:tc>
          <w:tcPr>
            <w:tcW w:w="4527" w:type="dxa"/>
          </w:tcPr>
          <w:p w:rsidR="005472BD" w:rsidRDefault="004D6A10">
            <w:pPr>
              <w:widowControl/>
              <w:jc w:val="center"/>
              <w:rPr>
                <w:rFonts w:ascii="华文楷体" w:eastAsia="华文楷体" w:hAnsi="华文楷体" w:cs="华文楷体"/>
                <w:b/>
                <w:bCs/>
              </w:rPr>
            </w:pPr>
            <w:r>
              <w:rPr>
                <w:rFonts w:hint="eastAsia"/>
                <w:noProof/>
                <w:sz w:val="24"/>
                <w:szCs w:val="21"/>
              </w:rPr>
              <w:drawing>
                <wp:anchor distT="0" distB="0" distL="114300" distR="114300" simplePos="0" relativeHeight="251634176" behindDoc="1" locked="0" layoutInCell="1" allowOverlap="1">
                  <wp:simplePos x="0" y="0"/>
                  <wp:positionH relativeFrom="column">
                    <wp:posOffset>1905</wp:posOffset>
                  </wp:positionH>
                  <wp:positionV relativeFrom="paragraph">
                    <wp:posOffset>24765</wp:posOffset>
                  </wp:positionV>
                  <wp:extent cx="2694940" cy="1901190"/>
                  <wp:effectExtent l="0" t="0" r="10160" b="0"/>
                  <wp:wrapTight wrapText="bothSides">
                    <wp:wrapPolygon edited="0">
                      <wp:start x="0" y="0"/>
                      <wp:lineTo x="0" y="21427"/>
                      <wp:lineTo x="21376" y="21427"/>
                      <wp:lineTo x="21376" y="0"/>
                      <wp:lineTo x="0" y="0"/>
                    </wp:wrapPolygon>
                  </wp:wrapTight>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2694940" cy="1901190"/>
                          </a:xfrm>
                          <a:prstGeom prst="rect">
                            <a:avLst/>
                          </a:prstGeom>
                          <a:noFill/>
                          <a:ln>
                            <a:noFill/>
                          </a:ln>
                        </pic:spPr>
                      </pic:pic>
                    </a:graphicData>
                  </a:graphic>
                </wp:anchor>
              </w:drawing>
            </w:r>
            <w:r>
              <w:rPr>
                <w:rFonts w:hint="eastAsia"/>
                <w:sz w:val="24"/>
                <w:szCs w:val="21"/>
              </w:rPr>
              <w:t>五坝河防护工程</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5．基于GIS的智慧太平大数据系统开发及应用研究项目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18"/>
      </w:tblGrid>
      <w:tr w:rsidR="005472BD" w:rsidRPr="00167FFA">
        <w:tc>
          <w:tcPr>
            <w:tcW w:w="9054" w:type="dxa"/>
            <w:gridSpan w:val="2"/>
          </w:tcPr>
          <w:p w:rsidR="005472BD" w:rsidRPr="00167FFA" w:rsidRDefault="004D6A10" w:rsidP="00167FFA">
            <w:pPr>
              <w:spacing w:line="600" w:lineRule="exact"/>
              <w:ind w:firstLineChars="200" w:firstLine="640"/>
              <w:outlineLvl w:val="2"/>
              <w:rPr>
                <w:rFonts w:ascii="仿宋" w:eastAsia="仿宋" w:hAnsi="仿宋"/>
                <w:sz w:val="32"/>
                <w:szCs w:val="32"/>
              </w:rPr>
            </w:pPr>
            <w:r w:rsidRPr="00167FFA">
              <w:rPr>
                <w:rFonts w:ascii="仿宋" w:eastAsia="仿宋" w:hAnsi="仿宋" w:hint="eastAsia"/>
                <w:sz w:val="32"/>
                <w:szCs w:val="32"/>
              </w:rPr>
              <w:t>由地质自然灾害防治研究所承担的应用研发类项目“基于GIS的智慧太平大数据系统开发及应用研究”依托于地理信息系统强大的数据处理、空间分析以及可视化表达功能建立乡村地理信息服务平台，将乡村地理信息和经济社会信息数字化，以促进乡村现代化管理、科学化决策和规范化规划。目前已完成智慧政府、智慧农业、智慧规划、精准扶贫和乡村文明建设5个模块初步开发工作，完成智慧太平大数据管理平台的框架和功能开发工作，正在进行智慧太平APP数据与大数据管理平台的数据融合工作。参加了2019年GIS软件技术大会、中国测绘学会2019学术年会。已授权软件著作权3项。项目的成功运行将进一步提高政</w:t>
            </w:r>
            <w:r w:rsidRPr="00167FFA">
              <w:rPr>
                <w:rFonts w:ascii="仿宋" w:eastAsia="仿宋" w:hAnsi="仿宋" w:hint="eastAsia"/>
                <w:sz w:val="32"/>
                <w:szCs w:val="32"/>
              </w:rPr>
              <w:lastRenderedPageBreak/>
              <w:t>府运作效率，加强监管、促进政务公开，改善公众服务、提升政府形象，并促进政府改革。</w:t>
            </w:r>
          </w:p>
        </w:tc>
      </w:tr>
      <w:tr w:rsidR="005472BD">
        <w:tc>
          <w:tcPr>
            <w:tcW w:w="9054" w:type="dxa"/>
            <w:gridSpan w:val="2"/>
          </w:tcPr>
          <w:p w:rsidR="005472BD" w:rsidRDefault="004D6A10" w:rsidP="00DE52C5">
            <w:pPr>
              <w:spacing w:line="600" w:lineRule="exact"/>
              <w:ind w:firstLineChars="200" w:firstLine="600"/>
              <w:outlineLvl w:val="2"/>
            </w:pPr>
            <w:r>
              <w:rPr>
                <w:rFonts w:hint="eastAsia"/>
                <w:b/>
                <w:bCs/>
              </w:rPr>
              <w:lastRenderedPageBreak/>
              <w:t>建议：</w:t>
            </w:r>
            <w:r>
              <w:rPr>
                <w:rFonts w:hint="eastAsia"/>
              </w:rPr>
              <w:t>后续数据维护和需要进行评估；项目成果如何为下一步乡村振兴服务，需进一步加大力度进行研发，尽快形成产品。</w:t>
            </w:r>
          </w:p>
        </w:tc>
      </w:tr>
      <w:tr w:rsidR="005472BD">
        <w:trPr>
          <w:trHeight w:val="1900"/>
        </w:trPr>
        <w:tc>
          <w:tcPr>
            <w:tcW w:w="4527" w:type="dxa"/>
          </w:tcPr>
          <w:p w:rsidR="005472BD" w:rsidRDefault="004D6A10">
            <w:pPr>
              <w:spacing w:line="600" w:lineRule="exact"/>
              <w:jc w:val="center"/>
              <w:outlineLvl w:val="2"/>
            </w:pPr>
            <w:r>
              <w:rPr>
                <w:rFonts w:hint="eastAsia"/>
                <w:sz w:val="24"/>
                <w:szCs w:val="21"/>
              </w:rPr>
              <w:t>智慧太平大数据管理平台</w:t>
            </w:r>
            <w:r>
              <w:rPr>
                <w:rFonts w:eastAsia="宋体"/>
                <w:noProof/>
                <w:kern w:val="0"/>
                <w:sz w:val="20"/>
              </w:rPr>
              <w:drawing>
                <wp:anchor distT="0" distB="0" distL="0" distR="0" simplePos="0" relativeHeight="251640320" behindDoc="1" locked="0" layoutInCell="1" allowOverlap="1">
                  <wp:simplePos x="0" y="0"/>
                  <wp:positionH relativeFrom="column">
                    <wp:posOffset>10795</wp:posOffset>
                  </wp:positionH>
                  <wp:positionV relativeFrom="paragraph">
                    <wp:posOffset>88900</wp:posOffset>
                  </wp:positionV>
                  <wp:extent cx="2731770" cy="2346325"/>
                  <wp:effectExtent l="0" t="0" r="11430" b="0"/>
                  <wp:wrapTight wrapText="bothSides">
                    <wp:wrapPolygon edited="0">
                      <wp:start x="0" y="0"/>
                      <wp:lineTo x="0" y="21395"/>
                      <wp:lineTo x="21389" y="21395"/>
                      <wp:lineTo x="21389"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31770" cy="2346325"/>
                          </a:xfrm>
                          <a:prstGeom prst="rect">
                            <a:avLst/>
                          </a:prstGeom>
                          <a:noFill/>
                          <a:ln>
                            <a:noFill/>
                          </a:ln>
                        </pic:spPr>
                      </pic:pic>
                    </a:graphicData>
                  </a:graphic>
                </wp:anchor>
              </w:drawing>
            </w:r>
          </w:p>
        </w:tc>
        <w:tc>
          <w:tcPr>
            <w:tcW w:w="4527" w:type="dxa"/>
          </w:tcPr>
          <w:p w:rsidR="005472BD" w:rsidRDefault="004D6A10">
            <w:pPr>
              <w:spacing w:line="600" w:lineRule="exact"/>
              <w:jc w:val="center"/>
              <w:outlineLvl w:val="2"/>
            </w:pPr>
            <w:r>
              <w:rPr>
                <w:rFonts w:hint="eastAsia"/>
                <w:noProof/>
                <w:sz w:val="24"/>
                <w:szCs w:val="21"/>
              </w:rPr>
              <w:drawing>
                <wp:anchor distT="0" distB="0" distL="0" distR="0" simplePos="0" relativeHeight="251641344" behindDoc="1" locked="0" layoutInCell="1" allowOverlap="1">
                  <wp:simplePos x="0" y="0"/>
                  <wp:positionH relativeFrom="column">
                    <wp:posOffset>5080</wp:posOffset>
                  </wp:positionH>
                  <wp:positionV relativeFrom="paragraph">
                    <wp:posOffset>100330</wp:posOffset>
                  </wp:positionV>
                  <wp:extent cx="2699385" cy="2371725"/>
                  <wp:effectExtent l="0" t="0" r="5715" b="0"/>
                  <wp:wrapTight wrapText="bothSides">
                    <wp:wrapPolygon edited="0">
                      <wp:start x="0" y="0"/>
                      <wp:lineTo x="0" y="21513"/>
                      <wp:lineTo x="21493" y="21513"/>
                      <wp:lineTo x="21493" y="0"/>
                      <wp:lineTo x="0" y="0"/>
                    </wp:wrapPolygon>
                  </wp:wrapTight>
                  <wp:docPr id="12" name="图片 6" descr="图片包含 人员, 男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图片包含 人员, 男士&#10;&#10;描述已自动生成"/>
                          <pic:cNvPicPr>
                            <a:picLocks noChangeAspect="1"/>
                          </pic:cNvPicPr>
                        </pic:nvPicPr>
                        <pic:blipFill>
                          <a:blip r:embed="rId20"/>
                          <a:srcRect l="9746" r="8200"/>
                          <a:stretch>
                            <a:fillRect/>
                          </a:stretch>
                        </pic:blipFill>
                        <pic:spPr>
                          <a:xfrm>
                            <a:off x="0" y="0"/>
                            <a:ext cx="2699385" cy="2371725"/>
                          </a:xfrm>
                          <a:prstGeom prst="rect">
                            <a:avLst/>
                          </a:prstGeom>
                        </pic:spPr>
                      </pic:pic>
                    </a:graphicData>
                  </a:graphic>
                </wp:anchor>
              </w:drawing>
            </w:r>
            <w:r>
              <w:rPr>
                <w:rFonts w:hint="eastAsia"/>
                <w:sz w:val="24"/>
                <w:szCs w:val="21"/>
              </w:rPr>
              <w:t>现场数据信息采集</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6．甘肃自然保护区矿山生态修复关键技术研究项目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3"/>
        <w:gridCol w:w="4571"/>
      </w:tblGrid>
      <w:tr w:rsidR="005472BD" w:rsidRPr="00167FFA">
        <w:tc>
          <w:tcPr>
            <w:tcW w:w="9054" w:type="dxa"/>
            <w:gridSpan w:val="2"/>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地质自然灾害防治研究所承担的应用研发类项目“甘肃自然保护区矿山生态修复关键技术研究”针对连山矿山生态地质环境问题，结合典型矿山已经实施的工程案例，总结提炼边坡稳定技术、地形地貌景观再造、土壤重构技术、植被建植技术等关键技术。在收集资料基础上根据调查成果，通过对甘肃祁连山不同地域、不同矿种、不同山开采条件、不同生态功能区矿山生态地质环境修复技术方法总结归纳提出甘肃祁连山自然保护区矿山地质环境生态修复模式。完成《甘肃省山水林田湖草生态保护修</w:t>
            </w:r>
            <w:r w:rsidRPr="00167FFA">
              <w:rPr>
                <w:rFonts w:ascii="仿宋" w:eastAsia="仿宋" w:hAnsi="仿宋" w:hint="eastAsia"/>
                <w:sz w:val="32"/>
                <w:szCs w:val="32"/>
              </w:rPr>
              <w:lastRenderedPageBreak/>
              <w:t>复项目验收技术指南》编制工作，启动编写《甘肃省山水林田湖草生态修复及其质量控制》专著，参加编写《绿色勘探技术》专著。完成了祁连山自然保护区矿山地质环境生态修复野外调查总结报告，完成调查报告6份。项目实施的支撑条件及保障落实到位，取得了预期效果。</w:t>
            </w:r>
          </w:p>
        </w:tc>
      </w:tr>
      <w:tr w:rsidR="005472BD">
        <w:tc>
          <w:tcPr>
            <w:tcW w:w="9054" w:type="dxa"/>
            <w:gridSpan w:val="2"/>
          </w:tcPr>
          <w:p w:rsidR="005472BD" w:rsidRDefault="004D6A10" w:rsidP="00DE52C5">
            <w:pPr>
              <w:spacing w:line="600" w:lineRule="exact"/>
              <w:ind w:firstLineChars="200" w:firstLine="600"/>
              <w:rPr>
                <w:rFonts w:ascii="华文楷体" w:eastAsia="华文楷体" w:hAnsi="华文楷体" w:cs="华文楷体"/>
                <w:b/>
                <w:bCs/>
              </w:rPr>
            </w:pPr>
            <w:r>
              <w:rPr>
                <w:rFonts w:hint="eastAsia"/>
                <w:b/>
                <w:bCs/>
              </w:rPr>
              <w:lastRenderedPageBreak/>
              <w:t>建议：</w:t>
            </w:r>
            <w:r>
              <w:rPr>
                <w:rFonts w:hint="eastAsia"/>
              </w:rPr>
              <w:t>加强项目经费预算管理，细化年度预算；加强成果转化。</w:t>
            </w:r>
          </w:p>
        </w:tc>
      </w:tr>
      <w:tr w:rsidR="005472BD">
        <w:trPr>
          <w:trHeight w:val="3878"/>
        </w:trPr>
        <w:tc>
          <w:tcPr>
            <w:tcW w:w="4527" w:type="dxa"/>
          </w:tcPr>
          <w:p w:rsidR="005472BD" w:rsidRDefault="004D6A10">
            <w:pPr>
              <w:spacing w:line="360" w:lineRule="exact"/>
              <w:jc w:val="center"/>
            </w:pPr>
            <w:r>
              <w:rPr>
                <w:rFonts w:hint="eastAsia"/>
                <w:noProof/>
                <w:sz w:val="24"/>
                <w:szCs w:val="21"/>
              </w:rPr>
              <w:drawing>
                <wp:anchor distT="0" distB="0" distL="114300" distR="114300" simplePos="0" relativeHeight="251636224" behindDoc="0" locked="0" layoutInCell="1" allowOverlap="1">
                  <wp:simplePos x="0" y="0"/>
                  <wp:positionH relativeFrom="column">
                    <wp:posOffset>0</wp:posOffset>
                  </wp:positionH>
                  <wp:positionV relativeFrom="paragraph">
                    <wp:posOffset>66675</wp:posOffset>
                  </wp:positionV>
                  <wp:extent cx="2725420" cy="2167255"/>
                  <wp:effectExtent l="0" t="0" r="17780" b="4445"/>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2725420" cy="2167255"/>
                          </a:xfrm>
                          <a:prstGeom prst="rect">
                            <a:avLst/>
                          </a:prstGeom>
                          <a:noFill/>
                          <a:ln>
                            <a:noFill/>
                          </a:ln>
                        </pic:spPr>
                      </pic:pic>
                    </a:graphicData>
                  </a:graphic>
                </wp:anchor>
              </w:drawing>
            </w:r>
            <w:r>
              <w:rPr>
                <w:rFonts w:hint="eastAsia"/>
                <w:sz w:val="24"/>
                <w:szCs w:val="21"/>
              </w:rPr>
              <w:t>《甘肃省山水林田湖草生态保护修复项目验收技术指南（试行）》印发通知</w:t>
            </w:r>
          </w:p>
        </w:tc>
        <w:tc>
          <w:tcPr>
            <w:tcW w:w="4527" w:type="dxa"/>
          </w:tcPr>
          <w:p w:rsidR="005472BD" w:rsidRDefault="004D6A10">
            <w:pPr>
              <w:spacing w:line="600" w:lineRule="exact"/>
              <w:jc w:val="center"/>
            </w:pPr>
            <w:r>
              <w:rPr>
                <w:rFonts w:hint="eastAsia"/>
                <w:noProof/>
                <w:sz w:val="24"/>
                <w:szCs w:val="21"/>
              </w:rPr>
              <w:drawing>
                <wp:anchor distT="0" distB="0" distL="114300" distR="114300" simplePos="0" relativeHeight="251637248" behindDoc="0" locked="0" layoutInCell="1" allowOverlap="1">
                  <wp:simplePos x="0" y="0"/>
                  <wp:positionH relativeFrom="column">
                    <wp:posOffset>-38100</wp:posOffset>
                  </wp:positionH>
                  <wp:positionV relativeFrom="paragraph">
                    <wp:posOffset>56515</wp:posOffset>
                  </wp:positionV>
                  <wp:extent cx="2790190" cy="2164080"/>
                  <wp:effectExtent l="0" t="0" r="10160" b="7620"/>
                  <wp:wrapTopAndBottom/>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2790190" cy="2164080"/>
                          </a:xfrm>
                          <a:prstGeom prst="rect">
                            <a:avLst/>
                          </a:prstGeom>
                          <a:noFill/>
                          <a:ln>
                            <a:noFill/>
                          </a:ln>
                        </pic:spPr>
                      </pic:pic>
                    </a:graphicData>
                  </a:graphic>
                </wp:anchor>
              </w:drawing>
            </w:r>
            <w:r>
              <w:rPr>
                <w:rFonts w:hint="eastAsia"/>
                <w:sz w:val="24"/>
                <w:szCs w:val="21"/>
              </w:rPr>
              <w:t>获得绿色矿山突出贡献奖</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7．面向大视场的虚拟阵列成像系统研发项目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4542"/>
      </w:tblGrid>
      <w:tr w:rsidR="005472BD" w:rsidRPr="00167FFA">
        <w:tc>
          <w:tcPr>
            <w:tcW w:w="9054" w:type="dxa"/>
            <w:gridSpan w:val="2"/>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传感技术研究所承担的应用研发类项目“面向大视场的虚拟阵列成像系统研发项目”采用高速相机和振镜技术，设计面向大视场的虚拟阵列成像系统。通过控制振镜的角度变化使得不同场景的反射光路进入高速摄像机进行成像的原理，获得不同场景的图像序列。目前，在读博士一名，专利授权数1项，开发新产品1个，培养相关技术人员5名，培养硕士4名；参加了第五届中国人工智能大会。本项目的采用高速视觉、振镜技术及智能控</w:t>
            </w:r>
            <w:r w:rsidRPr="00167FFA">
              <w:rPr>
                <w:rFonts w:ascii="仿宋" w:eastAsia="仿宋" w:hAnsi="仿宋" w:hint="eastAsia"/>
                <w:sz w:val="32"/>
                <w:szCs w:val="32"/>
              </w:rPr>
              <w:lastRenderedPageBreak/>
              <w:t>制技术，结合光学原理探索性的开发研制出虚拟阵列相机，然后将多场景图像序列利用图像拼接技术拼接成大视场全景图。为其后续进一步的研究图像解析提供基础，同时为大场景的计算阵列成像奠定理论基础。项目按年度任务完成了年度目标，取得了一定的成效。</w:t>
            </w:r>
          </w:p>
        </w:tc>
      </w:tr>
      <w:tr w:rsidR="005472BD">
        <w:trPr>
          <w:trHeight w:val="1073"/>
        </w:trPr>
        <w:tc>
          <w:tcPr>
            <w:tcW w:w="9054" w:type="dxa"/>
            <w:gridSpan w:val="2"/>
          </w:tcPr>
          <w:p w:rsidR="005472BD" w:rsidRDefault="004D6A10" w:rsidP="00DE52C5">
            <w:pPr>
              <w:spacing w:line="600" w:lineRule="exact"/>
              <w:ind w:firstLineChars="200" w:firstLine="600"/>
            </w:pPr>
            <w:r>
              <w:rPr>
                <w:rFonts w:hint="eastAsia"/>
                <w:b/>
                <w:bCs/>
              </w:rPr>
              <w:lastRenderedPageBreak/>
              <w:t>建议：</w:t>
            </w:r>
            <w:r>
              <w:rPr>
                <w:rFonts w:hint="eastAsia"/>
              </w:rPr>
              <w:t>进一步加强项目经费预算管理，细化年度预算；加快项目进度，加快平台搭建，完成后续研发工作。</w:t>
            </w:r>
          </w:p>
        </w:tc>
      </w:tr>
      <w:tr w:rsidR="005472BD">
        <w:trPr>
          <w:trHeight w:val="4274"/>
        </w:trPr>
        <w:tc>
          <w:tcPr>
            <w:tcW w:w="4527" w:type="dxa"/>
          </w:tcPr>
          <w:p w:rsidR="005472BD" w:rsidRDefault="004D6A10">
            <w:pPr>
              <w:spacing w:line="600" w:lineRule="exact"/>
              <w:jc w:val="center"/>
            </w:pPr>
            <w:r>
              <w:rPr>
                <w:rFonts w:ascii="仿宋_GB2312" w:hAnsi="仿宋_GB2312" w:cs="仿宋_GB2312"/>
                <w:noProof/>
                <w:kern w:val="0"/>
                <w:sz w:val="28"/>
                <w:szCs w:val="28"/>
              </w:rPr>
              <w:drawing>
                <wp:anchor distT="0" distB="0" distL="114300" distR="114300" simplePos="0" relativeHeight="251638272" behindDoc="1" locked="0" layoutInCell="1" allowOverlap="1">
                  <wp:simplePos x="0" y="0"/>
                  <wp:positionH relativeFrom="column">
                    <wp:posOffset>-26035</wp:posOffset>
                  </wp:positionH>
                  <wp:positionV relativeFrom="paragraph">
                    <wp:posOffset>85725</wp:posOffset>
                  </wp:positionV>
                  <wp:extent cx="2752725" cy="2303780"/>
                  <wp:effectExtent l="0" t="0" r="9525" b="1270"/>
                  <wp:wrapTight wrapText="bothSides">
                    <wp:wrapPolygon edited="0">
                      <wp:start x="0" y="0"/>
                      <wp:lineTo x="0" y="21433"/>
                      <wp:lineTo x="21525" y="21433"/>
                      <wp:lineTo x="21525" y="0"/>
                      <wp:lineTo x="0" y="0"/>
                    </wp:wrapPolygon>
                  </wp:wrapTight>
                  <wp:docPr id="16" name="图片 16" descr="大视场设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大视场设备2"/>
                          <pic:cNvPicPr>
                            <a:picLocks noChangeAspect="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52725" cy="2303780"/>
                          </a:xfrm>
                          <a:prstGeom prst="rect">
                            <a:avLst/>
                          </a:prstGeom>
                        </pic:spPr>
                      </pic:pic>
                    </a:graphicData>
                  </a:graphic>
                </wp:anchor>
              </w:drawing>
            </w:r>
            <w:r>
              <w:rPr>
                <w:rFonts w:hint="eastAsia"/>
                <w:sz w:val="24"/>
                <w:szCs w:val="21"/>
              </w:rPr>
              <w:t>光学硬件系统搭建中的硬件设备</w:t>
            </w:r>
          </w:p>
        </w:tc>
        <w:tc>
          <w:tcPr>
            <w:tcW w:w="4527" w:type="dxa"/>
          </w:tcPr>
          <w:p w:rsidR="005472BD" w:rsidRDefault="004D6A10">
            <w:pPr>
              <w:spacing w:line="600" w:lineRule="exact"/>
              <w:jc w:val="center"/>
            </w:pPr>
            <w:r>
              <w:rPr>
                <w:rFonts w:ascii="仿宋_GB2312" w:hAnsi="仿宋_GB2312" w:cs="仿宋_GB2312"/>
                <w:noProof/>
                <w:kern w:val="0"/>
                <w:sz w:val="28"/>
                <w:szCs w:val="28"/>
              </w:rPr>
              <w:drawing>
                <wp:anchor distT="0" distB="0" distL="114300" distR="114300" simplePos="0" relativeHeight="251647488" behindDoc="1" locked="0" layoutInCell="1" allowOverlap="1">
                  <wp:simplePos x="0" y="0"/>
                  <wp:positionH relativeFrom="column">
                    <wp:posOffset>-15240</wp:posOffset>
                  </wp:positionH>
                  <wp:positionV relativeFrom="paragraph">
                    <wp:posOffset>95885</wp:posOffset>
                  </wp:positionV>
                  <wp:extent cx="2771140" cy="2315210"/>
                  <wp:effectExtent l="0" t="0" r="10160" b="0"/>
                  <wp:wrapTight wrapText="bothSides">
                    <wp:wrapPolygon edited="0">
                      <wp:start x="0" y="0"/>
                      <wp:lineTo x="0" y="21505"/>
                      <wp:lineTo x="21382" y="21505"/>
                      <wp:lineTo x="21382" y="0"/>
                      <wp:lineTo x="0" y="0"/>
                    </wp:wrapPolygon>
                  </wp:wrapTight>
                  <wp:docPr id="17" name="图片 17" descr="大视场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大视场设备1"/>
                          <pic:cNvPicPr>
                            <a:picLocks noChangeAspect="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71140" cy="2315210"/>
                          </a:xfrm>
                          <a:prstGeom prst="rect">
                            <a:avLst/>
                          </a:prstGeom>
                        </pic:spPr>
                      </pic:pic>
                    </a:graphicData>
                  </a:graphic>
                </wp:anchor>
              </w:drawing>
            </w:r>
            <w:r>
              <w:rPr>
                <w:rFonts w:hint="eastAsia"/>
                <w:sz w:val="24"/>
                <w:szCs w:val="21"/>
              </w:rPr>
              <w:t>光学硬件系统搭建中的硬件设备</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8．基于GMR效应的金属材料裂纹涡流探伤仪的研制项目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传感技术研究所承担的应用研发类项目“基于GMR效应的金属材料裂纹涡流探伤仪的研制”构建基于GMR效应和电涡流检测技术新型电涡流检测平台，实现对电涡流导电金属材料无损检测技术的改进，提高电涡流检测技术的灵敏度和缺陷检测深度。在项目执行期间，培养相关技术人员1名，新增固定资产4万元，</w:t>
            </w:r>
            <w:r w:rsidRPr="00167FFA">
              <w:rPr>
                <w:rFonts w:ascii="仿宋" w:eastAsia="仿宋" w:hAnsi="仿宋" w:hint="eastAsia"/>
                <w:sz w:val="32"/>
                <w:szCs w:val="32"/>
              </w:rPr>
              <w:lastRenderedPageBreak/>
              <w:t>完成了GMR传感器电涡流探头电路的设计、仿真；设计了复杂背景下微弱信号检测算法，算法正在调试中。除完成产品的研发外，并能够将产品进行移植，预计可形成小批量生产。申请单位将在现有基础上，在人才队伍、硬件条件、科研水平等各方面得到进一步提升，形成一条集基础研究、产品研发、技术移植及人才培养于一体的高端传感技术创新基地之一。</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主要实施内容有：通过使用无损检测技术，发现材料或工件内部和表面所存在的缺陷，测定材料或工件的内部组成、结构、物理性能和状态等。本项目针对线圈式电涡流检测技术用于导电金属材料缺陷检测时灵敏度和空间分辨率低以及难以检测较深缺陷的实际问题，研制集成GMR（巨磁阻）效应传感器的新型电涡流导电金属材料裂纹检测平台，实现对电涡流导电金属材料无损检测技术的改进，提高电涡流检测技术的灵敏度和缺陷检测深度。</w:t>
            </w:r>
          </w:p>
        </w:tc>
      </w:tr>
      <w:tr w:rsidR="005472BD" w:rsidRPr="00167FFA">
        <w:tc>
          <w:tcPr>
            <w:tcW w:w="9054" w:type="dxa"/>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进一步加强项目经费预算管理，细化年度预算；加快项目研发进度。</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9．线性巨磁阻MEMS传感器的关键技术研究及器件研发项目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rPr>
          <w:trHeight w:val="90"/>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由传感技术研究所承担的应用研发类项目“</w:t>
            </w:r>
            <w:r w:rsidRPr="00167FFA">
              <w:rPr>
                <w:rFonts w:ascii="仿宋" w:eastAsia="仿宋" w:hAnsi="仿宋"/>
                <w:sz w:val="32"/>
                <w:szCs w:val="32"/>
              </w:rPr>
              <w:t>线性巨磁阻MEMS传感器的关键技术研究及器件研发</w:t>
            </w:r>
            <w:r w:rsidRPr="00167FFA">
              <w:rPr>
                <w:rFonts w:ascii="仿宋" w:eastAsia="仿宋" w:hAnsi="仿宋" w:hint="eastAsia"/>
                <w:sz w:val="32"/>
                <w:szCs w:val="32"/>
              </w:rPr>
              <w:t>”深入开发磁开关、磁场传感器、电流传感器的器件，着力自旋阀磁阻变化线性调控和器件线性输出的关键问题，进一步在材料、理论、工艺和器件方</w:t>
            </w:r>
            <w:r w:rsidRPr="00167FFA">
              <w:rPr>
                <w:rFonts w:ascii="仿宋" w:eastAsia="仿宋" w:hAnsi="仿宋" w:hint="eastAsia"/>
                <w:sz w:val="32"/>
                <w:szCs w:val="32"/>
              </w:rPr>
              <w:lastRenderedPageBreak/>
              <w:t>面有所突破，取得创新性成果，并为后期的传感器产业化奠定基础。项目目前已经完成了磁开关传感器芯片、磁传感器所有的工艺过程和封装，经过测试，芯片的磁性能达到预期要求；购置了新设备零磁屏蔽磁场发生系统1台；申请美国发明专利1件；申请中国发明专利4件；发表学术论文2篇；制定了3项企业标准。项目预期研制的三款传感器应用范围广阔，除灵敏度比现有产品高外，还具有更微小、成本更低等特点。项目完成了年度任务，达到了预期效果。</w:t>
            </w:r>
          </w:p>
        </w:tc>
      </w:tr>
      <w:tr w:rsidR="005472BD">
        <w:trPr>
          <w:trHeight w:val="1158"/>
        </w:trPr>
        <w:tc>
          <w:tcPr>
            <w:tcW w:w="9054" w:type="dxa"/>
            <w:gridSpan w:val="2"/>
          </w:tcPr>
          <w:p w:rsidR="005472BD" w:rsidRDefault="004D6A10" w:rsidP="00DE52C5">
            <w:pPr>
              <w:spacing w:line="600" w:lineRule="exact"/>
              <w:ind w:firstLineChars="200" w:firstLine="600"/>
              <w:rPr>
                <w:rFonts w:ascii="华文楷体" w:eastAsia="华文楷体" w:hAnsi="华文楷体" w:cs="华文楷体"/>
                <w:b/>
                <w:bCs/>
              </w:rPr>
            </w:pPr>
            <w:r>
              <w:rPr>
                <w:rFonts w:hint="eastAsia"/>
                <w:b/>
                <w:bCs/>
              </w:rPr>
              <w:lastRenderedPageBreak/>
              <w:t>建议：</w:t>
            </w:r>
            <w:r>
              <w:rPr>
                <w:rFonts w:hint="eastAsia"/>
              </w:rPr>
              <w:t>进一步加强项目经费预算管理，细化年度预算；加快设备购置进度。</w:t>
            </w:r>
          </w:p>
        </w:tc>
      </w:tr>
      <w:tr w:rsidR="005472BD">
        <w:trPr>
          <w:trHeight w:val="4172"/>
        </w:trPr>
        <w:tc>
          <w:tcPr>
            <w:tcW w:w="4527" w:type="dxa"/>
          </w:tcPr>
          <w:p w:rsidR="005472BD" w:rsidRDefault="004D6A10">
            <w:pPr>
              <w:spacing w:line="600" w:lineRule="exact"/>
              <w:jc w:val="center"/>
              <w:rPr>
                <w:rFonts w:ascii="华文楷体" w:eastAsia="华文楷体" w:hAnsi="华文楷体" w:cs="华文楷体"/>
                <w:b/>
                <w:bCs/>
              </w:rPr>
            </w:pPr>
            <w:r>
              <w:rPr>
                <w:rFonts w:hint="eastAsia"/>
                <w:sz w:val="24"/>
                <w:szCs w:val="21"/>
              </w:rPr>
              <w:t>项目研发中的磁场传感器</w:t>
            </w:r>
            <w:r>
              <w:rPr>
                <w:rFonts w:ascii="仿宋" w:eastAsia="仿宋" w:hAnsi="仿宋" w:cstheme="minorEastAsia" w:hint="eastAsia"/>
                <w:noProof/>
                <w:sz w:val="24"/>
              </w:rPr>
              <w:drawing>
                <wp:anchor distT="0" distB="0" distL="114300" distR="114300" simplePos="0" relativeHeight="251642368" behindDoc="1" locked="0" layoutInCell="1" allowOverlap="1">
                  <wp:simplePos x="0" y="0"/>
                  <wp:positionH relativeFrom="column">
                    <wp:posOffset>43815</wp:posOffset>
                  </wp:positionH>
                  <wp:positionV relativeFrom="paragraph">
                    <wp:posOffset>105410</wp:posOffset>
                  </wp:positionV>
                  <wp:extent cx="2658745" cy="2408555"/>
                  <wp:effectExtent l="0" t="0" r="8255" b="0"/>
                  <wp:wrapTight wrapText="bothSides">
                    <wp:wrapPolygon edited="0">
                      <wp:start x="0" y="0"/>
                      <wp:lineTo x="0" y="21355"/>
                      <wp:lineTo x="21512" y="21355"/>
                      <wp:lineTo x="21512" y="0"/>
                      <wp:lineTo x="0" y="0"/>
                    </wp:wrapPolygon>
                  </wp:wrapTight>
                  <wp:docPr id="18" name="图片 1" descr="C:\Users\lenovo\Desktop\芯片201903-苏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enovo\Desktop\芯片201903-苏州.jpg"/>
                          <pic:cNvPicPr>
                            <a:picLocks noChangeAspect="1" noChangeArrowheads="1"/>
                          </pic:cNvPicPr>
                        </pic:nvPicPr>
                        <pic:blipFill>
                          <a:blip r:embed="rId25" cstate="print"/>
                          <a:srcRect/>
                          <a:stretch>
                            <a:fillRect/>
                          </a:stretch>
                        </pic:blipFill>
                        <pic:spPr>
                          <a:xfrm>
                            <a:off x="0" y="0"/>
                            <a:ext cx="2658745" cy="2408555"/>
                          </a:xfrm>
                          <a:prstGeom prst="rect">
                            <a:avLst/>
                          </a:prstGeom>
                          <a:noFill/>
                          <a:ln w="9525">
                            <a:noFill/>
                            <a:miter lim="800000"/>
                            <a:headEnd/>
                            <a:tailEnd/>
                          </a:ln>
                        </pic:spPr>
                      </pic:pic>
                    </a:graphicData>
                  </a:graphic>
                </wp:anchor>
              </w:drawing>
            </w:r>
          </w:p>
        </w:tc>
        <w:tc>
          <w:tcPr>
            <w:tcW w:w="4527" w:type="dxa"/>
          </w:tcPr>
          <w:p w:rsidR="005472BD" w:rsidRDefault="004D6A10">
            <w:pPr>
              <w:spacing w:line="600" w:lineRule="exact"/>
              <w:jc w:val="center"/>
              <w:rPr>
                <w:rFonts w:ascii="华文楷体" w:eastAsia="华文楷体" w:hAnsi="华文楷体" w:cs="华文楷体"/>
                <w:b/>
                <w:bCs/>
              </w:rPr>
            </w:pPr>
            <w:r>
              <w:rPr>
                <w:rFonts w:eastAsia="仿宋" w:hint="eastAsia"/>
                <w:noProof/>
                <w:sz w:val="24"/>
              </w:rPr>
              <w:drawing>
                <wp:anchor distT="0" distB="0" distL="114300" distR="114300" simplePos="0" relativeHeight="251643392" behindDoc="1" locked="0" layoutInCell="1" allowOverlap="1">
                  <wp:simplePos x="0" y="0"/>
                  <wp:positionH relativeFrom="column">
                    <wp:posOffset>55880</wp:posOffset>
                  </wp:positionH>
                  <wp:positionV relativeFrom="paragraph">
                    <wp:posOffset>133350</wp:posOffset>
                  </wp:positionV>
                  <wp:extent cx="2635885" cy="2324735"/>
                  <wp:effectExtent l="0" t="0" r="12065" b="18415"/>
                  <wp:wrapTight wrapText="bothSides">
                    <wp:wrapPolygon edited="0">
                      <wp:start x="0" y="0"/>
                      <wp:lineTo x="0" y="21417"/>
                      <wp:lineTo x="21387" y="21417"/>
                      <wp:lineTo x="21387" y="0"/>
                      <wp:lineTo x="0" y="0"/>
                    </wp:wrapPolygon>
                  </wp:wrapTight>
                  <wp:docPr id="19" name="图片 2" descr="C:\Users\lenovo\Desktop\芯片-2019苏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lenovo\Desktop\芯片-2019苏州.jpg"/>
                          <pic:cNvPicPr>
                            <a:picLocks noChangeAspect="1" noChangeArrowheads="1"/>
                          </pic:cNvPicPr>
                        </pic:nvPicPr>
                        <pic:blipFill>
                          <a:blip r:embed="rId26" cstate="print"/>
                          <a:srcRect/>
                          <a:stretch>
                            <a:fillRect/>
                          </a:stretch>
                        </pic:blipFill>
                        <pic:spPr>
                          <a:xfrm>
                            <a:off x="0" y="0"/>
                            <a:ext cx="2635885" cy="2324735"/>
                          </a:xfrm>
                          <a:prstGeom prst="rect">
                            <a:avLst/>
                          </a:prstGeom>
                          <a:noFill/>
                          <a:ln w="9525">
                            <a:noFill/>
                            <a:miter lim="800000"/>
                            <a:headEnd/>
                            <a:tailEnd/>
                          </a:ln>
                        </pic:spPr>
                      </pic:pic>
                    </a:graphicData>
                  </a:graphic>
                </wp:anchor>
              </w:drawing>
            </w:r>
            <w:r>
              <w:rPr>
                <w:rFonts w:hint="eastAsia"/>
                <w:sz w:val="24"/>
              </w:rPr>
              <w:t>项目研发中的芯片</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10．智慧博物馆相关技术研发与示范应用项目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46"/>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lastRenderedPageBreak/>
              <w:t>由自动化研究所承担的应用研发类项目“智慧博物馆相关技术研发与示范应用”以自动化所自主研发的百亿像素图像采集技术和基于知识工程的“数字博物馆”信息平台为技术支撑，以虚拟现实实验室相关技术为应用支撑，为博物馆提供从文物数字化采集到平台化数据管理再到多技术智慧展陈的一整套解决方案，同时以数据管理平台为依托展开相关文物数据图像大数据深度挖掘研究。发表论文1篇；项目制造龙门吊式多光谱高精度文物数字化采集机器人4套；六轴超大画幅图像采集仪1套；环轨式三维全景图像采集仪1套；已受理发明专利3项。项目现已在多家文博单位开展文物数字化相关应用，一方面有利于文化旅游产业的发展，另一方面有利于博物馆信息技术的发展和完善，为国内其他地域的相应项目提供数字挖掘的模式或者技术支撑。</w:t>
            </w:r>
          </w:p>
        </w:tc>
      </w:tr>
      <w:tr w:rsidR="005472BD">
        <w:trPr>
          <w:trHeight w:val="610"/>
        </w:trPr>
        <w:tc>
          <w:tcPr>
            <w:tcW w:w="9054" w:type="dxa"/>
            <w:gridSpan w:val="2"/>
          </w:tcPr>
          <w:p w:rsidR="005472BD" w:rsidRDefault="004D6A10" w:rsidP="00DE52C5">
            <w:pPr>
              <w:spacing w:line="600" w:lineRule="exact"/>
              <w:ind w:firstLineChars="200" w:firstLine="600"/>
              <w:rPr>
                <w:rFonts w:ascii="华文楷体" w:eastAsia="华文楷体" w:hAnsi="华文楷体" w:cs="华文楷体"/>
                <w:b/>
                <w:bCs/>
              </w:rPr>
            </w:pPr>
            <w:r>
              <w:rPr>
                <w:rFonts w:hint="eastAsia"/>
                <w:b/>
                <w:bCs/>
              </w:rPr>
              <w:t>建议：</w:t>
            </w:r>
            <w:r>
              <w:rPr>
                <w:rFonts w:hint="eastAsia"/>
              </w:rPr>
              <w:t>优化采集设备，形成具有自主知识产权的产品。</w:t>
            </w:r>
          </w:p>
        </w:tc>
      </w:tr>
      <w:tr w:rsidR="005472BD">
        <w:trPr>
          <w:trHeight w:val="4191"/>
        </w:trPr>
        <w:tc>
          <w:tcPr>
            <w:tcW w:w="4527" w:type="dxa"/>
          </w:tcPr>
          <w:p w:rsidR="005472BD" w:rsidRDefault="004D6A10">
            <w:pPr>
              <w:spacing w:line="600" w:lineRule="exact"/>
              <w:rPr>
                <w:rFonts w:ascii="华文楷体" w:eastAsia="华文楷体" w:hAnsi="华文楷体" w:cs="华文楷体"/>
                <w:b/>
                <w:bCs/>
              </w:rPr>
            </w:pPr>
            <w:r>
              <w:rPr>
                <w:rFonts w:ascii="仿宋_GB2312" w:hAnsi="仿宋_GB2312" w:cs="仿宋_GB2312"/>
                <w:noProof/>
                <w:kern w:val="0"/>
                <w:sz w:val="28"/>
                <w:szCs w:val="28"/>
              </w:rPr>
              <w:drawing>
                <wp:anchor distT="0" distB="0" distL="0" distR="0" simplePos="0" relativeHeight="251649536" behindDoc="1" locked="0" layoutInCell="1" allowOverlap="1">
                  <wp:simplePos x="0" y="0"/>
                  <wp:positionH relativeFrom="column">
                    <wp:posOffset>-1905</wp:posOffset>
                  </wp:positionH>
                  <wp:positionV relativeFrom="paragraph">
                    <wp:posOffset>73660</wp:posOffset>
                  </wp:positionV>
                  <wp:extent cx="2737485" cy="2406015"/>
                  <wp:effectExtent l="0" t="0" r="0" b="0"/>
                  <wp:wrapTight wrapText="bothSides">
                    <wp:wrapPolygon edited="0">
                      <wp:start x="0" y="0"/>
                      <wp:lineTo x="0" y="21378"/>
                      <wp:lineTo x="21495" y="21378"/>
                      <wp:lineTo x="21495"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37485" cy="2406015"/>
                          </a:xfrm>
                          <a:prstGeom prst="rect">
                            <a:avLst/>
                          </a:prstGeom>
                          <a:noFill/>
                        </pic:spPr>
                      </pic:pic>
                    </a:graphicData>
                  </a:graphic>
                </wp:anchor>
              </w:drawing>
            </w:r>
            <w:r>
              <w:rPr>
                <w:rFonts w:hint="eastAsia"/>
                <w:sz w:val="24"/>
                <w:szCs w:val="21"/>
              </w:rPr>
              <w:t>2019</w:t>
            </w:r>
            <w:r>
              <w:rPr>
                <w:rFonts w:hint="eastAsia"/>
                <w:sz w:val="24"/>
                <w:szCs w:val="21"/>
              </w:rPr>
              <w:t>年兰州市科博会参展，获得展会银奖</w:t>
            </w:r>
          </w:p>
        </w:tc>
        <w:tc>
          <w:tcPr>
            <w:tcW w:w="4527" w:type="dxa"/>
          </w:tcPr>
          <w:p w:rsidR="005472BD" w:rsidRDefault="004D6A10">
            <w:pPr>
              <w:spacing w:line="600" w:lineRule="exact"/>
              <w:jc w:val="center"/>
              <w:rPr>
                <w:rFonts w:ascii="华文楷体" w:eastAsia="华文楷体" w:hAnsi="华文楷体" w:cs="华文楷体"/>
                <w:b/>
                <w:bCs/>
              </w:rPr>
            </w:pPr>
            <w:r>
              <w:rPr>
                <w:rFonts w:eastAsia="宋体"/>
                <w:noProof/>
                <w:kern w:val="0"/>
                <w:sz w:val="20"/>
              </w:rPr>
              <w:drawing>
                <wp:anchor distT="0" distB="0" distL="0" distR="0" simplePos="0" relativeHeight="251650560" behindDoc="1" locked="0" layoutInCell="1" allowOverlap="1">
                  <wp:simplePos x="0" y="0"/>
                  <wp:positionH relativeFrom="column">
                    <wp:posOffset>-6985</wp:posOffset>
                  </wp:positionH>
                  <wp:positionV relativeFrom="paragraph">
                    <wp:posOffset>54610</wp:posOffset>
                  </wp:positionV>
                  <wp:extent cx="2752725" cy="2417445"/>
                  <wp:effectExtent l="0" t="0" r="9525" b="0"/>
                  <wp:wrapTight wrapText="bothSides">
                    <wp:wrapPolygon edited="0">
                      <wp:start x="0" y="0"/>
                      <wp:lineTo x="0" y="21447"/>
                      <wp:lineTo x="21525" y="21447"/>
                      <wp:lineTo x="21525"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52725" cy="2417445"/>
                          </a:xfrm>
                          <a:prstGeom prst="rect">
                            <a:avLst/>
                          </a:prstGeom>
                          <a:noFill/>
                          <a:ln>
                            <a:noFill/>
                          </a:ln>
                        </pic:spPr>
                      </pic:pic>
                    </a:graphicData>
                  </a:graphic>
                </wp:anchor>
              </w:drawing>
            </w:r>
            <w:r>
              <w:rPr>
                <w:rFonts w:hint="eastAsia"/>
                <w:sz w:val="24"/>
                <w:szCs w:val="21"/>
              </w:rPr>
              <w:t>兰州市博物馆馆藏文物数字化采集</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11．主战坦克专用纳米润滑油产品开发项目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696"/>
        </w:trPr>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甘肃省科学院实验工厂（纳米应用技术研究室）承担的应用研发类项目“主战坦克专用纳米润滑油产品开发”结合申请团队在MPNP法制备纳米金属颗粒研究与应用方面的优势，采用纳米金属Cu颗粒作为润滑油添加剂，开发出系列综合性能稳定性、批次一致性的主战坦克专用纳米润滑油工艺配方与产品。本项目培养博士研究生共计2人，硕士研究生3人，相关技术人员共计人6人，发表学术论文4篇。所开发的用于主战坦克的纳米润滑油产品可满足现代化战争对主战坦克发动机（润滑油品）性能提升的需求；在我国冶金、矿山、农机、煤炭、电力和建材等行业中能广泛应用具有自修复减摩抗磨纳米润滑油产品，能够提高中国工业产品的竞争力，带动相关产业的发展，对国民经济发展有重大影响。</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主要实施内容有：一是主战坦克专用纳米润滑油产品的工艺配方与产品开发，将采用MPNP技术制备的金属Cu纳米颗粒作为添加剂应用于润滑油中，通过自组装与聚合反应将金属纳米颗粒表面进行功能化修饰改性保证金属纳米颗粒在柴油机油中的分散性与稳定性，开发出主战坦克专用纳米润滑油工艺配方；二是主战坦克专用纳米润滑油产品的综合性能评估与可靠性评价主战坦克专用纳米润滑油产品的模拟台架考核。</w:t>
            </w:r>
          </w:p>
        </w:tc>
      </w:tr>
      <w:tr w:rsidR="005472BD" w:rsidRPr="00167FFA">
        <w:trPr>
          <w:trHeight w:val="1401"/>
        </w:trPr>
        <w:tc>
          <w:tcPr>
            <w:tcW w:w="9054" w:type="dxa"/>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加强项目经费预算管理，细化年度预算；军工运用尚待考量，在其他行业运用并推广。</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12．乏燃料后处理混合澄清槽长轴搅拌器研制项目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6"/>
        <w:gridCol w:w="4488"/>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磁性器件研究所承担的应用研发类项目“乏燃料后处理混合澄清槽长轴搅拌器研制”基于永磁传动技术、合金材料及轴承技术、磁悬浮技术以及磁力搅拌装置设计和生产经验研制的乏燃料后处理混合澄清槽长轴搅拌器，是一种应用于乏燃料后处理混合澄清槽混合室中有机相和水相混合的搅拌装置，对料液混合程度的影响至关重要，是混合澄清槽的关键设备。研制本项目，对乏燃料后处理领域搅拌装置的国产化意义重大。项目吸纳和培养技术人员1人；形成长轴搅拌器的结构设计图纸1套；形成磁力联轴器设计图纸1套；完成磁力联轴器磁场仿真计算报告1份。在长轴搅拌器的结构设计中，项目组邀请清华大学核研院教授2人对项目实施进行参与指导2次。项目已取得的绩效符合项目任务书计划，任务产出指标按计划进度完成，年度任务指标达到既定目标。</w:t>
            </w:r>
          </w:p>
        </w:tc>
      </w:tr>
      <w:tr w:rsidR="005472BD">
        <w:trPr>
          <w:trHeight w:val="683"/>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进一步加强市场转化，继续投入工业化应用。</w:t>
            </w:r>
          </w:p>
        </w:tc>
      </w:tr>
      <w:tr w:rsidR="005472BD">
        <w:trPr>
          <w:trHeight w:val="4191"/>
        </w:trPr>
        <w:tc>
          <w:tcPr>
            <w:tcW w:w="4527" w:type="dxa"/>
          </w:tcPr>
          <w:p w:rsidR="005472BD" w:rsidRDefault="004D6A10">
            <w:pPr>
              <w:spacing w:line="600" w:lineRule="exact"/>
              <w:jc w:val="center"/>
              <w:rPr>
                <w:rFonts w:ascii="华文楷体" w:eastAsia="华文楷体" w:hAnsi="华文楷体" w:cs="华文楷体"/>
                <w:b/>
                <w:bCs/>
              </w:rPr>
            </w:pPr>
            <w:r>
              <w:rPr>
                <w:rFonts w:hint="eastAsia"/>
                <w:sz w:val="24"/>
              </w:rPr>
              <w:lastRenderedPageBreak/>
              <w:t>磁力联轴器磁场仿真计算合同</w:t>
            </w:r>
            <w:r>
              <w:rPr>
                <w:rFonts w:hint="eastAsia"/>
                <w:noProof/>
                <w:sz w:val="24"/>
              </w:rPr>
              <w:drawing>
                <wp:anchor distT="0" distB="0" distL="114300" distR="114300" simplePos="0" relativeHeight="251660800" behindDoc="0" locked="0" layoutInCell="1" allowOverlap="1">
                  <wp:simplePos x="0" y="0"/>
                  <wp:positionH relativeFrom="column">
                    <wp:posOffset>0</wp:posOffset>
                  </wp:positionH>
                  <wp:positionV relativeFrom="paragraph">
                    <wp:posOffset>91440</wp:posOffset>
                  </wp:positionV>
                  <wp:extent cx="2762250" cy="2422525"/>
                  <wp:effectExtent l="0" t="0" r="0" b="15875"/>
                  <wp:wrapTopAndBottom/>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9"/>
                          <a:stretch>
                            <a:fillRect/>
                          </a:stretch>
                        </pic:blipFill>
                        <pic:spPr>
                          <a:xfrm>
                            <a:off x="0" y="0"/>
                            <a:ext cx="2762250" cy="2422525"/>
                          </a:xfrm>
                          <a:prstGeom prst="rect">
                            <a:avLst/>
                          </a:prstGeom>
                          <a:noFill/>
                          <a:ln>
                            <a:noFill/>
                          </a:ln>
                        </pic:spPr>
                      </pic:pic>
                    </a:graphicData>
                  </a:graphic>
                </wp:anchor>
              </w:drawing>
            </w:r>
          </w:p>
        </w:tc>
        <w:tc>
          <w:tcPr>
            <w:tcW w:w="4527" w:type="dxa"/>
          </w:tcPr>
          <w:p w:rsidR="005472BD" w:rsidRDefault="004D6A10">
            <w:pPr>
              <w:spacing w:line="600" w:lineRule="exact"/>
              <w:jc w:val="center"/>
              <w:rPr>
                <w:rFonts w:ascii="华文楷体" w:eastAsia="华文楷体" w:hAnsi="华文楷体" w:cs="华文楷体"/>
                <w:b/>
                <w:bCs/>
              </w:rPr>
            </w:pPr>
            <w:r>
              <w:rPr>
                <w:noProof/>
              </w:rPr>
              <w:drawing>
                <wp:anchor distT="0" distB="0" distL="114300" distR="114300" simplePos="0" relativeHeight="251662848" behindDoc="0" locked="0" layoutInCell="1" allowOverlap="1">
                  <wp:simplePos x="0" y="0"/>
                  <wp:positionH relativeFrom="column">
                    <wp:posOffset>53340</wp:posOffset>
                  </wp:positionH>
                  <wp:positionV relativeFrom="paragraph">
                    <wp:posOffset>93980</wp:posOffset>
                  </wp:positionV>
                  <wp:extent cx="2695575" cy="2420620"/>
                  <wp:effectExtent l="0" t="0" r="9525" b="17780"/>
                  <wp:wrapTopAndBottom/>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30"/>
                          <a:stretch>
                            <a:fillRect/>
                          </a:stretch>
                        </pic:blipFill>
                        <pic:spPr>
                          <a:xfrm>
                            <a:off x="0" y="0"/>
                            <a:ext cx="2695575" cy="2420620"/>
                          </a:xfrm>
                          <a:prstGeom prst="rect">
                            <a:avLst/>
                          </a:prstGeom>
                          <a:noFill/>
                          <a:ln>
                            <a:noFill/>
                          </a:ln>
                        </pic:spPr>
                      </pic:pic>
                    </a:graphicData>
                  </a:graphic>
                </wp:anchor>
              </w:drawing>
            </w:r>
            <w:r>
              <w:rPr>
                <w:rFonts w:hint="eastAsia"/>
                <w:sz w:val="24"/>
              </w:rPr>
              <w:t>磁力联轴器磁场仿真计算报告</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13．馆藏文物数字化及活态化技术研发创新团队项目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自动化研究所承担的人才引进与培养类项目“馆藏文物数字化及活态化技术研发创新团队”通过自主研发的实景图像采集机器人，实现了可见光及紫红外光谱图像获取，创新性的采用了支点寻根定位技术，可进行平面大尺幅及微距和立体文史资料的超高精度图像的全方位数字化采集。对于构建我省人才战略、加快我省智能制造和文物数字化领域的发展具有积极的促进作用。发表论文3篇；制造龙门吊式多光谱高精度文物数字化采集机器人4套；六轴超大画幅图像采集仪1套；环轨式三维全景图像采集仪1套。项目的实施一是满足甘肃文化遗产的保护传承与创新发展的需要；二是满足现代文化旅游发展与甘肃建设文化旅游大省的需要；三是顺应甘肃建设华夏文明传承创新区的需要；四是响应国家关于扶持文化产业大发展、大繁荣的号召。项目按计划进行，达到了既定目标。</w:t>
            </w:r>
          </w:p>
        </w:tc>
      </w:tr>
      <w:tr w:rsidR="005472BD">
        <w:trPr>
          <w:trHeight w:val="1401"/>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加快团队人才培养，形成具有影响力的创新团队；加大科研产出力度。</w:t>
            </w:r>
          </w:p>
        </w:tc>
      </w:tr>
      <w:tr w:rsidR="005472BD">
        <w:trPr>
          <w:trHeight w:val="3805"/>
        </w:trPr>
        <w:tc>
          <w:tcPr>
            <w:tcW w:w="4527" w:type="dxa"/>
          </w:tcPr>
          <w:p w:rsidR="005472BD" w:rsidRDefault="004D6A10">
            <w:pPr>
              <w:spacing w:line="600" w:lineRule="exact"/>
              <w:jc w:val="center"/>
              <w:rPr>
                <w:sz w:val="24"/>
              </w:rPr>
            </w:pPr>
            <w:r>
              <w:rPr>
                <w:rFonts w:hint="eastAsia"/>
                <w:noProof/>
                <w:sz w:val="24"/>
              </w:rPr>
              <w:drawing>
                <wp:anchor distT="0" distB="0" distL="0" distR="0" simplePos="0" relativeHeight="251651584" behindDoc="1" locked="0" layoutInCell="1" allowOverlap="1">
                  <wp:simplePos x="0" y="0"/>
                  <wp:positionH relativeFrom="column">
                    <wp:posOffset>-26670</wp:posOffset>
                  </wp:positionH>
                  <wp:positionV relativeFrom="paragraph">
                    <wp:posOffset>75565</wp:posOffset>
                  </wp:positionV>
                  <wp:extent cx="2716530" cy="2063750"/>
                  <wp:effectExtent l="0" t="0" r="7620" b="12700"/>
                  <wp:wrapTight wrapText="bothSides">
                    <wp:wrapPolygon edited="0">
                      <wp:start x="0" y="0"/>
                      <wp:lineTo x="0" y="21334"/>
                      <wp:lineTo x="21509" y="21334"/>
                      <wp:lineTo x="21509"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16530" cy="2063750"/>
                          </a:xfrm>
                          <a:prstGeom prst="rect">
                            <a:avLst/>
                          </a:prstGeom>
                          <a:noFill/>
                        </pic:spPr>
                      </pic:pic>
                    </a:graphicData>
                  </a:graphic>
                </wp:anchor>
              </w:drawing>
            </w:r>
            <w:r>
              <w:rPr>
                <w:rFonts w:hint="eastAsia"/>
                <w:sz w:val="24"/>
              </w:rPr>
              <w:t>西泠印社古籍《鲁拜集》数字化采集</w:t>
            </w:r>
          </w:p>
        </w:tc>
        <w:tc>
          <w:tcPr>
            <w:tcW w:w="4527" w:type="dxa"/>
          </w:tcPr>
          <w:p w:rsidR="005472BD" w:rsidRDefault="004D6A10">
            <w:pPr>
              <w:spacing w:line="600" w:lineRule="exact"/>
              <w:jc w:val="center"/>
              <w:rPr>
                <w:sz w:val="24"/>
              </w:rPr>
            </w:pPr>
            <w:r>
              <w:rPr>
                <w:rFonts w:hint="eastAsia"/>
                <w:sz w:val="24"/>
              </w:rPr>
              <w:t>兰州市博物馆馆藏文物数字化采集</w:t>
            </w:r>
            <w:r>
              <w:rPr>
                <w:rFonts w:ascii="仿宋_GB2312" w:hAnsi="仿宋_GB2312" w:cs="仿宋_GB2312"/>
                <w:noProof/>
                <w:kern w:val="0"/>
                <w:sz w:val="28"/>
                <w:szCs w:val="28"/>
              </w:rPr>
              <w:drawing>
                <wp:anchor distT="0" distB="0" distL="0" distR="0" simplePos="0" relativeHeight="251652608" behindDoc="1" locked="0" layoutInCell="1" allowOverlap="1">
                  <wp:simplePos x="0" y="0"/>
                  <wp:positionH relativeFrom="column">
                    <wp:posOffset>17780</wp:posOffset>
                  </wp:positionH>
                  <wp:positionV relativeFrom="paragraph">
                    <wp:posOffset>62865</wp:posOffset>
                  </wp:positionV>
                  <wp:extent cx="2672715" cy="2098675"/>
                  <wp:effectExtent l="0" t="0" r="13335" b="0"/>
                  <wp:wrapTight wrapText="bothSides">
                    <wp:wrapPolygon edited="0">
                      <wp:start x="0" y="0"/>
                      <wp:lineTo x="0" y="21371"/>
                      <wp:lineTo x="21400" y="21371"/>
                      <wp:lineTo x="21400"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2715" cy="2098675"/>
                          </a:xfrm>
                          <a:prstGeom prst="rect">
                            <a:avLst/>
                          </a:prstGeom>
                          <a:noFill/>
                        </pic:spPr>
                      </pic:pic>
                    </a:graphicData>
                  </a:graphic>
                </wp:anchor>
              </w:drawing>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14．农牧废弃物生物处理与利用创新团队项目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803"/>
        </w:trPr>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生物研究所承担的人才引进与培养类项目“农牧废弃物生物处理与利用创新团队”在农牧废弃物肥料化技术研究方面，通过研发发酵腐熟菌剂和植物益生菌剂，以农牧业废弃物为原料的发酵工艺研究，制备高附加值、生态效应良好的生物有机肥。在农牧废弃物基质化技术研究方面，以农牧废弃物粪便和秸秆为原料，制备养殖卧床垫料和育苗基质、研制生物质可降解地膜及制备生物质炭，将农牧废弃物基质化后再利用。在农牧废弃物饲料化技术研究方面，以秸秆为原料，利用微生物菌剂将其制备为高效青贮和黄贮，以实现农业废弃物饲料化。创新团队发表SCI论文4篇；发表核心期刊5 篇；专利应用与成果转化1项；新增正高职称1个；新增副高职称1个；新增邓子新院士工作站1</w:t>
            </w:r>
            <w:r w:rsidRPr="00167FFA">
              <w:rPr>
                <w:rFonts w:ascii="仿宋" w:eastAsia="仿宋" w:hAnsi="仿宋" w:hint="eastAsia"/>
                <w:sz w:val="32"/>
                <w:szCs w:val="32"/>
              </w:rPr>
              <w:lastRenderedPageBreak/>
              <w:t>个。项目整体进度正常。</w:t>
            </w:r>
          </w:p>
          <w:p w:rsidR="005472BD"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主要实施内容有：农牧废弃物肥料化技术研究方面选育出有应用价值的发酵腐熟微生物和植物益生微生物高效菌种；农牧废弃物基质化技术研究方面通过微生物腐熟技术和植物与微生物互作效应，制备成养殖卧床垫料和育苗基质，以养殖业的粪便、污水和农业秸秆等废弃资源为原料，研制生物质可降解地膜；农牧废弃物饲料化技术研究方面将以农业秸秆为原料的废弃物饲料化。</w:t>
            </w:r>
          </w:p>
          <w:p w:rsidR="00167FFA" w:rsidRPr="00167FFA" w:rsidRDefault="00167FFA" w:rsidP="00167FFA">
            <w:pPr>
              <w:spacing w:line="600" w:lineRule="exact"/>
              <w:ind w:firstLineChars="200" w:firstLine="640"/>
              <w:rPr>
                <w:rFonts w:ascii="仿宋" w:eastAsia="仿宋" w:hAnsi="仿宋"/>
                <w:sz w:val="32"/>
                <w:szCs w:val="32"/>
              </w:rPr>
            </w:pPr>
          </w:p>
        </w:tc>
      </w:tr>
      <w:tr w:rsidR="005472BD" w:rsidRPr="00167FFA">
        <w:trPr>
          <w:trHeight w:val="1401"/>
        </w:trPr>
        <w:tc>
          <w:tcPr>
            <w:tcW w:w="9054" w:type="dxa"/>
          </w:tcPr>
          <w:p w:rsidR="005472BD" w:rsidRPr="00167FFA" w:rsidRDefault="004D6A10" w:rsidP="00167FFA">
            <w:pPr>
              <w:spacing w:line="600" w:lineRule="exact"/>
              <w:ind w:firstLineChars="196" w:firstLine="630"/>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争取院、省进一步支持，争取形成一个省级创新团队；充分利用推广平台，加大人才送出去培养力度；派遣科技人员到企业挂职，培养产-学-研的企业人才。</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5．地质灾害防治与生态地质环境修复创新团队项目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803"/>
        </w:trPr>
        <w:tc>
          <w:tcPr>
            <w:tcW w:w="9054" w:type="dxa"/>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lastRenderedPageBreak/>
              <w:t>由地质自然灾害防治研究所承担的人才引进与培养类项目“甘肃省科学院地质灾害防治与生态地质环境修复创新团队”围绕我省构建生态产业体系、加强生态环境保护的战略需求，瞄准甘肃省生态地质环境中的重点、难点问题，以地质灾害与生态地质环境问题的发育分布及其形成机理、灾害应急处置和灾害风险评价、防治与修复技术为研究重点。发表论文15篇，其中以第一作者发表SCI论文1篇，核心期刊论文4篇，以通讯作者发表SCI、EI论文各1篇，核心期刊论文4篇；参与编著著作2部；制定技术标准1项；获得授权的专利7项；获得受理的专利2项，其中发明专利1项；获得软件著作权5项；联合争取中央财政支持的重特大项目5项；参与的项目完成第三方科技成果评价1项。编制完成地质灾害应急排查报告五份，社会效益显著。</w:t>
            </w:r>
          </w:p>
        </w:tc>
      </w:tr>
      <w:tr w:rsidR="005472BD">
        <w:trPr>
          <w:trHeight w:val="90"/>
        </w:trPr>
        <w:tc>
          <w:tcPr>
            <w:tcW w:w="9054" w:type="dxa"/>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进一步加大经费支出；横向项目方面争取经费按时到位。</w:t>
            </w:r>
          </w:p>
        </w:tc>
      </w:tr>
      <w:tr w:rsidR="005472BD">
        <w:trPr>
          <w:trHeight w:val="4191"/>
        </w:trPr>
        <w:tc>
          <w:tcPr>
            <w:tcW w:w="9054" w:type="dxa"/>
          </w:tcPr>
          <w:p w:rsidR="005472BD" w:rsidRDefault="004D6A10">
            <w:pPr>
              <w:spacing w:line="360" w:lineRule="exact"/>
              <w:jc w:val="center"/>
              <w:rPr>
                <w:rFonts w:ascii="华文楷体" w:eastAsia="华文楷体" w:hAnsi="华文楷体" w:cs="华文楷体"/>
                <w:b/>
                <w:bCs/>
              </w:rPr>
            </w:pPr>
            <w:r>
              <w:rPr>
                <w:noProof/>
              </w:rPr>
              <w:drawing>
                <wp:anchor distT="0" distB="0" distL="114300" distR="114300" simplePos="0" relativeHeight="251664896" behindDoc="0" locked="0" layoutInCell="1" allowOverlap="1">
                  <wp:simplePos x="0" y="0"/>
                  <wp:positionH relativeFrom="column">
                    <wp:posOffset>1181100</wp:posOffset>
                  </wp:positionH>
                  <wp:positionV relativeFrom="paragraph">
                    <wp:posOffset>92075</wp:posOffset>
                  </wp:positionV>
                  <wp:extent cx="2960370" cy="2368550"/>
                  <wp:effectExtent l="0" t="0" r="11430" b="12700"/>
                  <wp:wrapTopAndBottom/>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33"/>
                          <a:stretch>
                            <a:fillRect/>
                          </a:stretch>
                        </pic:blipFill>
                        <pic:spPr>
                          <a:xfrm>
                            <a:off x="0" y="0"/>
                            <a:ext cx="2960370" cy="2368550"/>
                          </a:xfrm>
                          <a:prstGeom prst="rect">
                            <a:avLst/>
                          </a:prstGeom>
                          <a:noFill/>
                          <a:ln>
                            <a:noFill/>
                          </a:ln>
                        </pic:spPr>
                      </pic:pic>
                    </a:graphicData>
                  </a:graphic>
                </wp:anchor>
              </w:drawing>
            </w:r>
            <w:r>
              <w:rPr>
                <w:rFonts w:hint="eastAsia"/>
                <w:sz w:val="24"/>
              </w:rPr>
              <w:t>甘肃省科学院地质灾害防治与生态地质环境修复创新团队管理细则</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16．永磁传动及轴承技术设备创新团队项目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18"/>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磁性器件研究所承担的人才引进与培养类项目“永磁传动及轴承技术设备创新团队”与清华大学核研院、中国核电工程有限公司、上海空间推进研究所、青岛即发集团股份有限公司等单位深入合作，将永磁传动技术和轴承技术等核心技术研发与合作单位技术需求深度结合，在提升团队研发能力的同时，解决了合作单位实际需求，初步实现了在2018-2021年将团队打造成为核电站密封传动领域唯一且权威的永磁密封传动技术与设备供应商的发展定位。吸纳和培养技术人员7人；出版《磁力耦合传动技术及装置的理论设计与应用》专著1部；获得授权实用新型专利8项；形成新产品9项。基于永磁传动技术研制的泵、搅拌器等产品具有静密封、无泄漏等特点，属于环保节能技术产品，钨镍合金轴承的使用一方面提高了设备的性能，另一方面延长了使用寿命，节约了设备维修和保养费用。创新团队在2019年通过开展研发工作形成订单1000余万元。</w:t>
            </w:r>
          </w:p>
        </w:tc>
      </w:tr>
      <w:tr w:rsidR="005472BD">
        <w:trPr>
          <w:trHeight w:val="1129"/>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加强项目经费预算管理，细化年度预算；完善团队建设资料。</w:t>
            </w:r>
          </w:p>
        </w:tc>
      </w:tr>
      <w:tr w:rsidR="005472BD">
        <w:trPr>
          <w:trHeight w:val="3460"/>
        </w:trPr>
        <w:tc>
          <w:tcPr>
            <w:tcW w:w="4527" w:type="dxa"/>
          </w:tcPr>
          <w:p w:rsidR="005472BD" w:rsidRDefault="004D6A10">
            <w:pPr>
              <w:spacing w:line="600" w:lineRule="exact"/>
              <w:jc w:val="center"/>
              <w:rPr>
                <w:rFonts w:ascii="华文楷体" w:eastAsia="华文楷体" w:hAnsi="华文楷体" w:cs="华文楷体"/>
                <w:b/>
                <w:bCs/>
              </w:rPr>
            </w:pPr>
            <w:r>
              <w:rPr>
                <w:rFonts w:hint="eastAsia"/>
                <w:noProof/>
                <w:sz w:val="24"/>
              </w:rPr>
              <w:lastRenderedPageBreak/>
              <w:drawing>
                <wp:anchor distT="0" distB="0" distL="114300" distR="114300" simplePos="0" relativeHeight="251644416" behindDoc="0" locked="0" layoutInCell="1" allowOverlap="1">
                  <wp:simplePos x="0" y="0"/>
                  <wp:positionH relativeFrom="column">
                    <wp:posOffset>3175</wp:posOffset>
                  </wp:positionH>
                  <wp:positionV relativeFrom="paragraph">
                    <wp:posOffset>62230</wp:posOffset>
                  </wp:positionV>
                  <wp:extent cx="2728595" cy="1767205"/>
                  <wp:effectExtent l="0" t="0" r="14605" b="4445"/>
                  <wp:wrapTopAndBottom/>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4"/>
                          <a:stretch>
                            <a:fillRect/>
                          </a:stretch>
                        </pic:blipFill>
                        <pic:spPr>
                          <a:xfrm>
                            <a:off x="0" y="0"/>
                            <a:ext cx="2728595" cy="1767205"/>
                          </a:xfrm>
                          <a:prstGeom prst="rect">
                            <a:avLst/>
                          </a:prstGeom>
                          <a:noFill/>
                          <a:ln>
                            <a:noFill/>
                          </a:ln>
                        </pic:spPr>
                      </pic:pic>
                    </a:graphicData>
                  </a:graphic>
                </wp:anchor>
              </w:drawing>
            </w:r>
            <w:r>
              <w:rPr>
                <w:rFonts w:hint="eastAsia"/>
                <w:sz w:val="24"/>
              </w:rPr>
              <w:t>出版的专著</w:t>
            </w:r>
          </w:p>
        </w:tc>
        <w:tc>
          <w:tcPr>
            <w:tcW w:w="4527" w:type="dxa"/>
          </w:tcPr>
          <w:p w:rsidR="005472BD" w:rsidRDefault="004D6A10">
            <w:pPr>
              <w:spacing w:line="600" w:lineRule="exact"/>
              <w:jc w:val="center"/>
              <w:rPr>
                <w:rFonts w:ascii="华文楷体" w:eastAsia="华文楷体" w:hAnsi="华文楷体" w:cs="华文楷体"/>
                <w:b/>
                <w:bCs/>
              </w:rPr>
            </w:pPr>
            <w:r>
              <w:rPr>
                <w:rFonts w:hint="eastAsia"/>
                <w:noProof/>
                <w:sz w:val="24"/>
              </w:rPr>
              <w:drawing>
                <wp:anchor distT="0" distB="0" distL="114300" distR="114300" simplePos="0" relativeHeight="251645440" behindDoc="0" locked="0" layoutInCell="1" allowOverlap="1">
                  <wp:simplePos x="0" y="0"/>
                  <wp:positionH relativeFrom="column">
                    <wp:posOffset>86360</wp:posOffset>
                  </wp:positionH>
                  <wp:positionV relativeFrom="paragraph">
                    <wp:posOffset>69850</wp:posOffset>
                  </wp:positionV>
                  <wp:extent cx="2591435" cy="1756410"/>
                  <wp:effectExtent l="0" t="0" r="18415" b="15240"/>
                  <wp:wrapTopAndBottom/>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5"/>
                          <a:srcRect b="20670"/>
                          <a:stretch>
                            <a:fillRect/>
                          </a:stretch>
                        </pic:blipFill>
                        <pic:spPr>
                          <a:xfrm>
                            <a:off x="0" y="0"/>
                            <a:ext cx="2591435" cy="1756410"/>
                          </a:xfrm>
                          <a:prstGeom prst="rect">
                            <a:avLst/>
                          </a:prstGeom>
                          <a:noFill/>
                          <a:ln>
                            <a:noFill/>
                          </a:ln>
                        </pic:spPr>
                      </pic:pic>
                    </a:graphicData>
                  </a:graphic>
                </wp:anchor>
              </w:drawing>
            </w:r>
            <w:r>
              <w:rPr>
                <w:rFonts w:hint="eastAsia"/>
                <w:sz w:val="24"/>
              </w:rPr>
              <w:t>无轴封永磁转动泵研制合同书</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17．设施化羊肚菌中试生产项目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rPr>
          <w:trHeight w:val="6680"/>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生物技术研究所承担的高新技术产业化项目“设施化羊肚菌中试生产”通过在甘肃省科学院生物研究所基地建立设施化中试试验车间，以期为设施化羊肚菌的种植技术添砖加瓦。本项目的实施培养相关人才10余人，新增仪器设备8台，参加会议2人次，在4个中试基地，进行了示范推广工作，申请专利2项，发表文章1篇。在实施还不足1年的时间内，主要进行了中试生产设备的采购、安装，设施试验车间的设计、加工等工作，在4个地区进行了羊肚菌的中试试验。确定5个试验点为张掖甘州区绿之源有限公司、民乐华瑞农业有限责任公司、榆中和平中试基地、庆阳张庄农村合作社、庆阳镇原城关农村合作社进行羊肚菌栽培出菇试验。项目团队专业组织合理，分工明确，能有效保证项目的顺利实施。</w:t>
            </w:r>
          </w:p>
        </w:tc>
      </w:tr>
      <w:tr w:rsidR="005472BD">
        <w:trPr>
          <w:trHeight w:val="90"/>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加快技术标准化构建及产业化；建立一个示范基地；加大推广力度。</w:t>
            </w:r>
          </w:p>
        </w:tc>
      </w:tr>
      <w:tr w:rsidR="005472BD">
        <w:trPr>
          <w:trHeight w:val="4191"/>
        </w:trPr>
        <w:tc>
          <w:tcPr>
            <w:tcW w:w="4527" w:type="dxa"/>
          </w:tcPr>
          <w:p w:rsidR="005472BD" w:rsidRDefault="004D6A10">
            <w:pPr>
              <w:spacing w:line="600" w:lineRule="exact"/>
              <w:jc w:val="center"/>
              <w:rPr>
                <w:sz w:val="24"/>
              </w:rPr>
            </w:pPr>
            <w:r>
              <w:rPr>
                <w:rFonts w:hint="eastAsia"/>
                <w:noProof/>
                <w:sz w:val="24"/>
              </w:rPr>
              <w:lastRenderedPageBreak/>
              <w:drawing>
                <wp:anchor distT="0" distB="0" distL="0" distR="0" simplePos="0" relativeHeight="251646464" behindDoc="1" locked="0" layoutInCell="1" allowOverlap="1">
                  <wp:simplePos x="0" y="0"/>
                  <wp:positionH relativeFrom="column">
                    <wp:posOffset>-10795</wp:posOffset>
                  </wp:positionH>
                  <wp:positionV relativeFrom="paragraph">
                    <wp:posOffset>52705</wp:posOffset>
                  </wp:positionV>
                  <wp:extent cx="2761615" cy="2392045"/>
                  <wp:effectExtent l="0" t="0" r="635" b="0"/>
                  <wp:wrapTight wrapText="bothSides">
                    <wp:wrapPolygon edited="0">
                      <wp:start x="0" y="0"/>
                      <wp:lineTo x="0" y="21503"/>
                      <wp:lineTo x="21456" y="21503"/>
                      <wp:lineTo x="21456"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61615" cy="2392045"/>
                          </a:xfrm>
                          <a:prstGeom prst="rect">
                            <a:avLst/>
                          </a:prstGeom>
                        </pic:spPr>
                      </pic:pic>
                    </a:graphicData>
                  </a:graphic>
                </wp:anchor>
              </w:drawing>
            </w:r>
            <w:r>
              <w:rPr>
                <w:rFonts w:hint="eastAsia"/>
                <w:sz w:val="24"/>
              </w:rPr>
              <w:t>羊肚菌菌株分离图</w:t>
            </w:r>
          </w:p>
        </w:tc>
        <w:tc>
          <w:tcPr>
            <w:tcW w:w="4527" w:type="dxa"/>
          </w:tcPr>
          <w:p w:rsidR="005472BD" w:rsidRDefault="004D6A10">
            <w:pPr>
              <w:spacing w:line="600" w:lineRule="exact"/>
              <w:jc w:val="center"/>
              <w:rPr>
                <w:sz w:val="24"/>
              </w:rPr>
            </w:pPr>
            <w:r>
              <w:rPr>
                <w:rFonts w:hint="eastAsia"/>
                <w:sz w:val="24"/>
              </w:rPr>
              <w:t>中试试验图</w:t>
            </w:r>
            <w:r>
              <w:rPr>
                <w:rFonts w:hint="eastAsia"/>
                <w:noProof/>
                <w:sz w:val="24"/>
              </w:rPr>
              <w:drawing>
                <wp:anchor distT="0" distB="0" distL="0" distR="0" simplePos="0" relativeHeight="251648512" behindDoc="1" locked="0" layoutInCell="1" allowOverlap="1">
                  <wp:simplePos x="0" y="0"/>
                  <wp:positionH relativeFrom="column">
                    <wp:posOffset>-22860</wp:posOffset>
                  </wp:positionH>
                  <wp:positionV relativeFrom="paragraph">
                    <wp:posOffset>50800</wp:posOffset>
                  </wp:positionV>
                  <wp:extent cx="2755265" cy="2379345"/>
                  <wp:effectExtent l="0" t="0" r="6985" b="0"/>
                  <wp:wrapTight wrapText="bothSides">
                    <wp:wrapPolygon edited="0">
                      <wp:start x="0" y="0"/>
                      <wp:lineTo x="0" y="21444"/>
                      <wp:lineTo x="21505" y="21444"/>
                      <wp:lineTo x="21505"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55265" cy="2379345"/>
                          </a:xfrm>
                          <a:prstGeom prst="rect">
                            <a:avLst/>
                          </a:prstGeom>
                        </pic:spPr>
                      </pic:pic>
                    </a:graphicData>
                  </a:graphic>
                </wp:anchor>
              </w:drawing>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18．利用养殖场废水生产多粘类芽孢杆菌菌剂项目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4458"/>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生物技术研究所承担的高新技术产业化项目“利用养殖场废水生产多粘类芽孢杆菌菌剂”利用该菌为发酵菌种，以冲粪废水为该菌的发酵培养基，结合污水处理工艺制作生物发酵设备，对培养基进行设计，改进发酵工艺，生产出拥有高密度有效活菌的高质量生物菌剂，生物菌肥等产品。本项目设计了2-3套中小型的液体发酵罐，实际完成制作发酵设备1套。该系统能够容积为3-5m</w:t>
            </w:r>
            <w:r w:rsidRPr="00167FFA">
              <w:rPr>
                <w:rFonts w:ascii="仿宋" w:eastAsia="仿宋" w:hAnsi="仿宋" w:hint="eastAsia"/>
                <w:sz w:val="32"/>
                <w:szCs w:val="32"/>
                <w:vertAlign w:val="superscript"/>
              </w:rPr>
              <w:t>3</w:t>
            </w:r>
            <w:r w:rsidRPr="00167FFA">
              <w:rPr>
                <w:rFonts w:ascii="仿宋" w:eastAsia="仿宋" w:hAnsi="仿宋" w:hint="eastAsia"/>
                <w:sz w:val="32"/>
                <w:szCs w:val="32"/>
              </w:rPr>
              <w:t>，配套相关的粗虑系统，具有自动化增温保温功能。本项目所生产出的生物絮凝剂，具有对环境友好，无化学污染，无二次污染，从根本上保证和维持了绿色可持续，循环农业的基本需求；无外源不可降解不可逆的化学物的加入，并保证了循环农业内部系统的运转。本项目所生产的菌剂打通了污水资源化处理的关键环节，形成巨大的生态效益。</w:t>
            </w:r>
          </w:p>
        </w:tc>
      </w:tr>
      <w:tr w:rsidR="005472BD" w:rsidRPr="00167FFA">
        <w:trPr>
          <w:trHeight w:val="719"/>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加大中试与推广；加大熟化力度，积极向企业推广。</w:t>
            </w:r>
          </w:p>
        </w:tc>
      </w:tr>
      <w:tr w:rsidR="005472BD" w:rsidRPr="00167FFA">
        <w:trPr>
          <w:trHeight w:val="3954"/>
        </w:trPr>
        <w:tc>
          <w:tcPr>
            <w:tcW w:w="4527" w:type="dxa"/>
          </w:tcPr>
          <w:p w:rsidR="005472BD" w:rsidRPr="00167FFA" w:rsidRDefault="004D6A10">
            <w:pPr>
              <w:spacing w:line="600" w:lineRule="exact"/>
              <w:jc w:val="center"/>
              <w:rPr>
                <w:rFonts w:ascii="仿宋" w:eastAsia="仿宋" w:hAnsi="仿宋"/>
                <w:sz w:val="32"/>
                <w:szCs w:val="32"/>
              </w:rPr>
            </w:pPr>
            <w:r w:rsidRPr="00167FFA">
              <w:rPr>
                <w:rFonts w:ascii="仿宋" w:eastAsia="仿宋" w:hAnsi="仿宋" w:hint="eastAsia"/>
                <w:noProof/>
                <w:sz w:val="32"/>
                <w:szCs w:val="32"/>
              </w:rPr>
              <w:drawing>
                <wp:anchor distT="0" distB="0" distL="114300" distR="114300" simplePos="0" relativeHeight="251635200" behindDoc="0" locked="0" layoutInCell="1" allowOverlap="1">
                  <wp:simplePos x="0" y="0"/>
                  <wp:positionH relativeFrom="column">
                    <wp:posOffset>-8890</wp:posOffset>
                  </wp:positionH>
                  <wp:positionV relativeFrom="paragraph">
                    <wp:posOffset>91440</wp:posOffset>
                  </wp:positionV>
                  <wp:extent cx="2781300" cy="2208530"/>
                  <wp:effectExtent l="0" t="0" r="0" b="1270"/>
                  <wp:wrapTopAndBottom/>
                  <wp:docPr id="29" name="图片 29" descr="C:\Users\Matebook X\Desktop\QQ图片202005271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Matebook X\Desktop\QQ图片20200527101109.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81300" cy="2208530"/>
                          </a:xfrm>
                          <a:prstGeom prst="rect">
                            <a:avLst/>
                          </a:prstGeom>
                          <a:noFill/>
                          <a:ln>
                            <a:noFill/>
                          </a:ln>
                        </pic:spPr>
                      </pic:pic>
                    </a:graphicData>
                  </a:graphic>
                </wp:anchor>
              </w:drawing>
            </w:r>
            <w:r w:rsidRPr="00167FFA">
              <w:rPr>
                <w:rFonts w:ascii="仿宋" w:eastAsia="仿宋" w:hAnsi="仿宋" w:hint="eastAsia"/>
                <w:sz w:val="32"/>
                <w:szCs w:val="32"/>
              </w:rPr>
              <w:t>污水资源化设施-沙石过滤池</w:t>
            </w:r>
          </w:p>
        </w:tc>
        <w:tc>
          <w:tcPr>
            <w:tcW w:w="4527" w:type="dxa"/>
          </w:tcPr>
          <w:p w:rsidR="005472BD" w:rsidRPr="00167FFA" w:rsidRDefault="004D6A10">
            <w:pPr>
              <w:spacing w:line="600" w:lineRule="exact"/>
              <w:jc w:val="center"/>
              <w:rPr>
                <w:rFonts w:ascii="仿宋" w:eastAsia="仿宋" w:hAnsi="仿宋"/>
                <w:sz w:val="32"/>
                <w:szCs w:val="32"/>
              </w:rPr>
            </w:pPr>
            <w:r w:rsidRPr="00167FFA">
              <w:rPr>
                <w:rFonts w:ascii="仿宋" w:eastAsia="仿宋" w:hAnsi="仿宋" w:hint="eastAsia"/>
                <w:sz w:val="32"/>
                <w:szCs w:val="32"/>
              </w:rPr>
              <w:t>污水资源化设施设备-开放式发酵罐</w:t>
            </w:r>
            <w:r w:rsidRPr="00167FFA">
              <w:rPr>
                <w:rFonts w:ascii="仿宋" w:eastAsia="仿宋" w:hAnsi="仿宋" w:cs="仿宋_GB2312"/>
                <w:noProof/>
                <w:kern w:val="0"/>
                <w:sz w:val="32"/>
                <w:szCs w:val="32"/>
              </w:rPr>
              <w:drawing>
                <wp:anchor distT="0" distB="0" distL="114300" distR="114300" simplePos="0" relativeHeight="251655680" behindDoc="0" locked="0" layoutInCell="1" allowOverlap="1">
                  <wp:simplePos x="0" y="0"/>
                  <wp:positionH relativeFrom="column">
                    <wp:posOffset>24765</wp:posOffset>
                  </wp:positionH>
                  <wp:positionV relativeFrom="paragraph">
                    <wp:posOffset>76200</wp:posOffset>
                  </wp:positionV>
                  <wp:extent cx="2623820" cy="2221865"/>
                  <wp:effectExtent l="0" t="0" r="5080" b="6985"/>
                  <wp:wrapTopAndBottom/>
                  <wp:docPr id="30" name="图片 30" descr="C:\Users\Matebook X\Desktop\20191106_10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Matebook X\Desktop\20191106_10474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r="30513"/>
                          <a:stretch>
                            <a:fillRect/>
                          </a:stretch>
                        </pic:blipFill>
                        <pic:spPr>
                          <a:xfrm>
                            <a:off x="0" y="0"/>
                            <a:ext cx="2623820" cy="2221865"/>
                          </a:xfrm>
                          <a:prstGeom prst="rect">
                            <a:avLst/>
                          </a:prstGeom>
                          <a:noFill/>
                          <a:ln>
                            <a:noFill/>
                          </a:ln>
                        </pic:spPr>
                      </pic:pic>
                    </a:graphicData>
                  </a:graphic>
                </wp:anchor>
              </w:drawing>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19．泾川县柴胡种植技术扶贫示范与技术培训项目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生物技术研究所承担的高新技术产业化项目“泾川县柴胡种植技术扶贫示范与技术培训”发挥我院科技成果和人才优势，集成优质种子引进、有机肥改良土壤、与农作物套种等因地制宜栽培技术优化措施，在泾川帮扶村建立柴胡种植试验示范基地20亩，提高其产量和品质增加效益；同时对当地农户延续进行温室蔬菜、山地核桃、地膜玉米等实用技术培训200人次，通过科技产业帮扶达到巩固脱贫成果和乡村振兴的目的。完成了1个技术示范基地，20亩种植基地建设；完成了100人次人员的培训。本项目示范推广的柴胡套种胡麻、施用生物肥料等综合技术，预计每年每亩地收益可达到5000元以上，生物肥料可以改善土壤环境，增加中药材产量和品质，达到产业扶贫、乡村振兴</w:t>
            </w:r>
            <w:r w:rsidRPr="00167FFA">
              <w:rPr>
                <w:rFonts w:ascii="仿宋" w:eastAsia="仿宋" w:hAnsi="仿宋" w:hint="eastAsia"/>
                <w:sz w:val="32"/>
                <w:szCs w:val="32"/>
              </w:rPr>
              <w:lastRenderedPageBreak/>
              <w:t>的目的，将产生显著生态、社会和经济效益。</w:t>
            </w:r>
          </w:p>
        </w:tc>
      </w:tr>
      <w:tr w:rsidR="005472BD" w:rsidRPr="00167FFA">
        <w:trPr>
          <w:trHeight w:val="90"/>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加快柴胡规模化种植标准制定；尽快研发一个符合泾川县的农-药种植模式。</w:t>
            </w:r>
          </w:p>
        </w:tc>
      </w:tr>
      <w:tr w:rsidR="005472BD" w:rsidRPr="00167FFA">
        <w:trPr>
          <w:trHeight w:val="3891"/>
        </w:trPr>
        <w:tc>
          <w:tcPr>
            <w:tcW w:w="4527" w:type="dxa"/>
          </w:tcPr>
          <w:p w:rsidR="005472BD" w:rsidRPr="00167FFA" w:rsidRDefault="004D6A10">
            <w:pPr>
              <w:spacing w:line="360" w:lineRule="exact"/>
              <w:jc w:val="center"/>
              <w:rPr>
                <w:rFonts w:ascii="仿宋" w:eastAsia="仿宋" w:hAnsi="仿宋"/>
                <w:sz w:val="32"/>
                <w:szCs w:val="32"/>
              </w:rPr>
            </w:pPr>
            <w:r w:rsidRPr="00167FFA">
              <w:rPr>
                <w:rFonts w:ascii="仿宋" w:eastAsia="仿宋" w:hAnsi="仿宋" w:hint="eastAsia"/>
                <w:noProof/>
                <w:sz w:val="32"/>
                <w:szCs w:val="32"/>
              </w:rPr>
              <w:drawing>
                <wp:anchor distT="0" distB="0" distL="114300" distR="114300" simplePos="0" relativeHeight="251656704" behindDoc="1" locked="0" layoutInCell="1" allowOverlap="1">
                  <wp:simplePos x="0" y="0"/>
                  <wp:positionH relativeFrom="column">
                    <wp:posOffset>6350</wp:posOffset>
                  </wp:positionH>
                  <wp:positionV relativeFrom="paragraph">
                    <wp:posOffset>60960</wp:posOffset>
                  </wp:positionV>
                  <wp:extent cx="2731770" cy="1925955"/>
                  <wp:effectExtent l="0" t="0" r="0" b="17145"/>
                  <wp:wrapTight wrapText="bothSides">
                    <wp:wrapPolygon edited="0">
                      <wp:start x="0" y="0"/>
                      <wp:lineTo x="0" y="21365"/>
                      <wp:lineTo x="21389" y="21365"/>
                      <wp:lineTo x="21389" y="0"/>
                      <wp:lineTo x="0" y="0"/>
                    </wp:wrapPolygon>
                  </wp:wrapTight>
                  <wp:docPr id="31" name="图片 31" descr="培训6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培训6 - 副本"/>
                          <pic:cNvPicPr>
                            <a:picLocks noChangeAspect="1"/>
                          </pic:cNvPicPr>
                        </pic:nvPicPr>
                        <pic:blipFill>
                          <a:blip r:embed="rId40" cstate="print"/>
                          <a:stretch>
                            <a:fillRect/>
                          </a:stretch>
                        </pic:blipFill>
                        <pic:spPr>
                          <a:xfrm>
                            <a:off x="0" y="0"/>
                            <a:ext cx="2731770" cy="1925955"/>
                          </a:xfrm>
                          <a:prstGeom prst="rect">
                            <a:avLst/>
                          </a:prstGeom>
                        </pic:spPr>
                      </pic:pic>
                    </a:graphicData>
                  </a:graphic>
                </wp:anchor>
              </w:drawing>
            </w:r>
            <w:r w:rsidRPr="00167FFA">
              <w:rPr>
                <w:rFonts w:ascii="仿宋" w:eastAsia="仿宋" w:hAnsi="仿宋" w:hint="eastAsia"/>
                <w:sz w:val="32"/>
                <w:szCs w:val="32"/>
              </w:rPr>
              <w:t>项目组成员在培训现场讲解中药材柴胡及其种植技术</w:t>
            </w:r>
          </w:p>
        </w:tc>
        <w:tc>
          <w:tcPr>
            <w:tcW w:w="4527" w:type="dxa"/>
          </w:tcPr>
          <w:p w:rsidR="005472BD" w:rsidRPr="00167FFA" w:rsidRDefault="004D6A10">
            <w:pPr>
              <w:spacing w:line="360" w:lineRule="exact"/>
              <w:jc w:val="center"/>
              <w:rPr>
                <w:rFonts w:ascii="仿宋" w:eastAsia="仿宋" w:hAnsi="仿宋"/>
                <w:sz w:val="32"/>
                <w:szCs w:val="32"/>
              </w:rPr>
            </w:pPr>
            <w:r w:rsidRPr="00167FFA">
              <w:rPr>
                <w:rFonts w:ascii="仿宋" w:eastAsia="仿宋" w:hAnsi="仿宋" w:hint="eastAsia"/>
                <w:noProof/>
                <w:sz w:val="32"/>
                <w:szCs w:val="32"/>
              </w:rPr>
              <w:drawing>
                <wp:anchor distT="0" distB="0" distL="114300" distR="114300" simplePos="0" relativeHeight="251657728" behindDoc="1" locked="0" layoutInCell="1" allowOverlap="1">
                  <wp:simplePos x="0" y="0"/>
                  <wp:positionH relativeFrom="column">
                    <wp:posOffset>53975</wp:posOffset>
                  </wp:positionH>
                  <wp:positionV relativeFrom="paragraph">
                    <wp:posOffset>62230</wp:posOffset>
                  </wp:positionV>
                  <wp:extent cx="2670810" cy="1948815"/>
                  <wp:effectExtent l="0" t="0" r="15240" b="51435"/>
                  <wp:wrapTight wrapText="bothSides">
                    <wp:wrapPolygon edited="0">
                      <wp:start x="0" y="0"/>
                      <wp:lineTo x="0" y="21326"/>
                      <wp:lineTo x="21415" y="21326"/>
                      <wp:lineTo x="21415" y="0"/>
                      <wp:lineTo x="0" y="0"/>
                    </wp:wrapPolygon>
                  </wp:wrapTight>
                  <wp:docPr id="32" name="图片 32" descr="培训1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培训14 - 副本"/>
                          <pic:cNvPicPr>
                            <a:picLocks noChangeAspect="1"/>
                          </pic:cNvPicPr>
                        </pic:nvPicPr>
                        <pic:blipFill>
                          <a:blip r:embed="rId41"/>
                          <a:stretch>
                            <a:fillRect/>
                          </a:stretch>
                        </pic:blipFill>
                        <pic:spPr>
                          <a:xfrm>
                            <a:off x="0" y="0"/>
                            <a:ext cx="2670810" cy="1948815"/>
                          </a:xfrm>
                          <a:prstGeom prst="rect">
                            <a:avLst/>
                          </a:prstGeom>
                        </pic:spPr>
                      </pic:pic>
                    </a:graphicData>
                  </a:graphic>
                </wp:anchor>
              </w:drawing>
            </w:r>
            <w:r w:rsidRPr="00167FFA">
              <w:rPr>
                <w:rFonts w:ascii="仿宋" w:eastAsia="仿宋" w:hAnsi="仿宋" w:hint="eastAsia"/>
                <w:sz w:val="32"/>
                <w:szCs w:val="32"/>
              </w:rPr>
              <w:t>中药柴胡套种胡麻示范基地种植示范</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20．纳米硅肥制备及对旱地玉米的增效作用研究项目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4536"/>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lastRenderedPageBreak/>
              <w:t>由生物技术研究所承担的高新技术产业化项目“纳米硅肥制备及对旱地玉米的增效作用研究”针对硅肥目前面临的问题，结合课题组和合作单位的研究基础，由甘肃省科学院纳米应用技术研究室联合生物研究所开发纳米硅叶面肥和根际缓控肥，并针对旱地玉米上开展应用效果研究，利用AMOS方法对纳米硅肥的效果进行评估，为纳米硅肥的研发和在农业上的应用提供理论和技术支撑。本项目培养相关技术人员共计6人。2019年在黄羊镇农科院试验站进行了纳米铁和硅在大豆上的应用试验。本项目技术不但节能减少化肥农药的用量，还能促进作物增收、培肥土壤，具有显著的经济效益和生态效益。本项目技术一旦在干旱半干旱农业区成功推广应用，不仅能实现化肥农药的减量化，又能使作物增产增收，从根本上解决了长期施用化肥导致的土壤生态恶化，农产品质量下降等问题，实现了农业的绿色发展，具有重大的社会效益。</w:t>
            </w:r>
          </w:p>
        </w:tc>
      </w:tr>
      <w:tr w:rsidR="005472BD" w:rsidRPr="00167FFA">
        <w:trPr>
          <w:trHeight w:val="726"/>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扩大试验规模，尽快实现具有推广价值的成果。</w:t>
            </w:r>
          </w:p>
        </w:tc>
      </w:tr>
      <w:tr w:rsidR="005472BD">
        <w:trPr>
          <w:trHeight w:val="3922"/>
        </w:trPr>
        <w:tc>
          <w:tcPr>
            <w:tcW w:w="4527" w:type="dxa"/>
          </w:tcPr>
          <w:p w:rsidR="005472BD" w:rsidRDefault="004D6A10">
            <w:pPr>
              <w:spacing w:line="600" w:lineRule="exact"/>
              <w:jc w:val="center"/>
              <w:rPr>
                <w:sz w:val="24"/>
              </w:rPr>
            </w:pPr>
            <w:r>
              <w:rPr>
                <w:rFonts w:hint="eastAsia"/>
                <w:noProof/>
                <w:sz w:val="24"/>
              </w:rPr>
              <w:lastRenderedPageBreak/>
              <w:drawing>
                <wp:anchor distT="0" distB="0" distL="0" distR="0" simplePos="0" relativeHeight="251658752" behindDoc="1" locked="0" layoutInCell="1" allowOverlap="1">
                  <wp:simplePos x="0" y="0"/>
                  <wp:positionH relativeFrom="column">
                    <wp:posOffset>0</wp:posOffset>
                  </wp:positionH>
                  <wp:positionV relativeFrom="paragraph">
                    <wp:posOffset>46990</wp:posOffset>
                  </wp:positionV>
                  <wp:extent cx="2720975" cy="2129790"/>
                  <wp:effectExtent l="0" t="0" r="3175" b="0"/>
                  <wp:wrapTight wrapText="bothSides">
                    <wp:wrapPolygon edited="0">
                      <wp:start x="0" y="0"/>
                      <wp:lineTo x="0" y="21445"/>
                      <wp:lineTo x="21474" y="21445"/>
                      <wp:lineTo x="21474" y="0"/>
                      <wp:lineTo x="0" y="0"/>
                    </wp:wrapPolygon>
                  </wp:wrapTight>
                  <wp:docPr id="33" name="图片 33" descr="C:\Users\ADMINI~1\AppData\Local\Temp\1583206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1583206522(1).pn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20975" cy="2129790"/>
                          </a:xfrm>
                          <a:prstGeom prst="rect">
                            <a:avLst/>
                          </a:prstGeom>
                          <a:noFill/>
                          <a:ln>
                            <a:noFill/>
                          </a:ln>
                        </pic:spPr>
                      </pic:pic>
                    </a:graphicData>
                  </a:graphic>
                </wp:anchor>
              </w:drawing>
            </w:r>
            <w:r>
              <w:rPr>
                <w:rFonts w:hint="eastAsia"/>
                <w:sz w:val="24"/>
              </w:rPr>
              <w:t>实验过程图像</w:t>
            </w:r>
          </w:p>
        </w:tc>
        <w:tc>
          <w:tcPr>
            <w:tcW w:w="4527" w:type="dxa"/>
          </w:tcPr>
          <w:p w:rsidR="005472BD" w:rsidRDefault="004D6A10">
            <w:pPr>
              <w:spacing w:line="600" w:lineRule="exact"/>
              <w:jc w:val="center"/>
              <w:rPr>
                <w:sz w:val="24"/>
              </w:rPr>
            </w:pPr>
            <w:r>
              <w:rPr>
                <w:rFonts w:hint="eastAsia"/>
                <w:sz w:val="24"/>
              </w:rPr>
              <w:t>实验过程图像</w:t>
            </w:r>
            <w:r>
              <w:rPr>
                <w:rFonts w:ascii="仿宋" w:eastAsia="仿宋" w:hAnsi="仿宋"/>
                <w:noProof/>
                <w:sz w:val="24"/>
              </w:rPr>
              <w:drawing>
                <wp:anchor distT="0" distB="0" distL="0" distR="0" simplePos="0" relativeHeight="251659776" behindDoc="1" locked="0" layoutInCell="1" allowOverlap="1">
                  <wp:simplePos x="0" y="0"/>
                  <wp:positionH relativeFrom="column">
                    <wp:posOffset>-15240</wp:posOffset>
                  </wp:positionH>
                  <wp:positionV relativeFrom="paragraph">
                    <wp:posOffset>33655</wp:posOffset>
                  </wp:positionV>
                  <wp:extent cx="2736850" cy="2127885"/>
                  <wp:effectExtent l="0" t="0" r="6350" b="0"/>
                  <wp:wrapTight wrapText="bothSides">
                    <wp:wrapPolygon edited="0">
                      <wp:start x="0" y="0"/>
                      <wp:lineTo x="0" y="21465"/>
                      <wp:lineTo x="21500" y="21465"/>
                      <wp:lineTo x="21500" y="0"/>
                      <wp:lineTo x="0" y="0"/>
                    </wp:wrapPolygon>
                  </wp:wrapTight>
                  <wp:docPr id="34" name="图片 34" descr="C:\Users\ADMINI~1\AppData\Local\Temp\1583220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1583220597(1).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36850" cy="2127885"/>
                          </a:xfrm>
                          <a:prstGeom prst="rect">
                            <a:avLst/>
                          </a:prstGeom>
                          <a:noFill/>
                          <a:ln>
                            <a:noFill/>
                          </a:ln>
                        </pic:spPr>
                      </pic:pic>
                    </a:graphicData>
                  </a:graphic>
                </wp:anchor>
              </w:drawing>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21．甘肃省陇南地区泥石流治理工程效果评价项目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4482"/>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地质自然灾害防治研究所承担的高新技术产业化项目“甘肃省陇南地区泥石流治理工程效果评价”以甘肃省陇南地区为研究区，以区内泥石流治理工程为主要研究对象，通过区域环境背景调查，结合野外监测、重点工程技术原型观测、数值分析等方法，通过对泥石流形成条件和活动特点的系统分析，研发集成不同类型泥石流灾害治理技术与模式，进一步完善、集成和规范甘肃省陇南地区泥石流治理技术，构建技术推广载体，为甘肃泥石流灾害防灾减灾提供科技支撑。已培养博士、硕士各1名，研究员1名；已授权专利4项，申请软件著作权2项；项目进展期间积极扩大交流，参加了3次会议交流。该项目的研究可极大的提高甘肃省泥石流防治技术水平。更重要的是将其推广到滑坡、崩塌等灾种中研究，为甘肃省地质灾害治理工程前期的勘查、设计和后期的安全运营提供技术支撑。由于甘肃省灾害点多、投资大，</w:t>
            </w:r>
            <w:r w:rsidRPr="00167FFA">
              <w:rPr>
                <w:rFonts w:ascii="仿宋" w:eastAsia="仿宋" w:hAnsi="仿宋" w:hint="eastAsia"/>
                <w:sz w:val="32"/>
                <w:szCs w:val="32"/>
              </w:rPr>
              <w:lastRenderedPageBreak/>
              <w:t>其可持续影响较深远。</w:t>
            </w:r>
          </w:p>
        </w:tc>
      </w:tr>
      <w:tr w:rsidR="005472BD">
        <w:trPr>
          <w:trHeight w:val="90"/>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加快项目支出；加快设备的购买，尽快应用于项目研发。</w:t>
            </w:r>
          </w:p>
        </w:tc>
      </w:tr>
      <w:tr w:rsidR="005472BD">
        <w:trPr>
          <w:trHeight w:val="3377"/>
        </w:trPr>
        <w:tc>
          <w:tcPr>
            <w:tcW w:w="4527" w:type="dxa"/>
          </w:tcPr>
          <w:p w:rsidR="005472BD" w:rsidRDefault="004D6A10">
            <w:pPr>
              <w:spacing w:line="600" w:lineRule="exact"/>
              <w:jc w:val="center"/>
              <w:rPr>
                <w:sz w:val="24"/>
              </w:rPr>
            </w:pPr>
            <w:r>
              <w:rPr>
                <w:rFonts w:hint="eastAsia"/>
                <w:noProof/>
                <w:sz w:val="24"/>
              </w:rPr>
              <w:drawing>
                <wp:anchor distT="0" distB="0" distL="0" distR="0" simplePos="0" relativeHeight="251667968" behindDoc="1" locked="0" layoutInCell="1" allowOverlap="1">
                  <wp:simplePos x="0" y="0"/>
                  <wp:positionH relativeFrom="column">
                    <wp:posOffset>-5715</wp:posOffset>
                  </wp:positionH>
                  <wp:positionV relativeFrom="paragraph">
                    <wp:posOffset>34925</wp:posOffset>
                  </wp:positionV>
                  <wp:extent cx="2766060" cy="2082165"/>
                  <wp:effectExtent l="0" t="0" r="15240" b="0"/>
                  <wp:wrapTight wrapText="bothSides">
                    <wp:wrapPolygon edited="0">
                      <wp:start x="0" y="0"/>
                      <wp:lineTo x="0" y="21343"/>
                      <wp:lineTo x="21421" y="21343"/>
                      <wp:lineTo x="21421" y="0"/>
                      <wp:lineTo x="0" y="0"/>
                    </wp:wrapPolygon>
                  </wp:wrapTight>
                  <wp:docPr id="25" name="图片 25" descr="C:\Users\ADMINI~1\AppData\Local\Temp\WeChat Files\42b832036701e2ebf3fcbe8c6879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42b832036701e2ebf3fcbe8c68798ae.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6060" cy="2082165"/>
                          </a:xfrm>
                          <a:prstGeom prst="rect">
                            <a:avLst/>
                          </a:prstGeom>
                          <a:noFill/>
                          <a:ln>
                            <a:noFill/>
                          </a:ln>
                        </pic:spPr>
                      </pic:pic>
                    </a:graphicData>
                  </a:graphic>
                </wp:anchor>
              </w:drawing>
            </w:r>
            <w:r>
              <w:rPr>
                <w:rFonts w:hint="eastAsia"/>
                <w:sz w:val="24"/>
              </w:rPr>
              <w:t>野外调查照片（缠坡里沟）</w:t>
            </w:r>
          </w:p>
        </w:tc>
        <w:tc>
          <w:tcPr>
            <w:tcW w:w="4527" w:type="dxa"/>
          </w:tcPr>
          <w:p w:rsidR="005472BD" w:rsidRPr="00167FFA" w:rsidRDefault="004D6A10">
            <w:pPr>
              <w:spacing w:line="600" w:lineRule="exact"/>
              <w:jc w:val="center"/>
              <w:rPr>
                <w:rFonts w:ascii="仿宋" w:eastAsia="仿宋" w:hAnsi="仿宋"/>
                <w:sz w:val="32"/>
                <w:szCs w:val="32"/>
              </w:rPr>
            </w:pPr>
            <w:r w:rsidRPr="00167FFA">
              <w:rPr>
                <w:rFonts w:ascii="仿宋" w:eastAsia="仿宋" w:hAnsi="仿宋" w:hint="eastAsia"/>
                <w:noProof/>
                <w:sz w:val="32"/>
                <w:szCs w:val="32"/>
              </w:rPr>
              <w:drawing>
                <wp:anchor distT="0" distB="0" distL="0" distR="0" simplePos="0" relativeHeight="251668992" behindDoc="1" locked="0" layoutInCell="1" allowOverlap="1">
                  <wp:simplePos x="0" y="0"/>
                  <wp:positionH relativeFrom="column">
                    <wp:posOffset>11430</wp:posOffset>
                  </wp:positionH>
                  <wp:positionV relativeFrom="paragraph">
                    <wp:posOffset>33655</wp:posOffset>
                  </wp:positionV>
                  <wp:extent cx="2710180" cy="2108200"/>
                  <wp:effectExtent l="0" t="0" r="13970" b="0"/>
                  <wp:wrapTight wrapText="bothSides">
                    <wp:wrapPolygon edited="0">
                      <wp:start x="0" y="0"/>
                      <wp:lineTo x="0" y="21470"/>
                      <wp:lineTo x="21408" y="21470"/>
                      <wp:lineTo x="21408" y="0"/>
                      <wp:lineTo x="0" y="0"/>
                    </wp:wrapPolygon>
                  </wp:wrapTight>
                  <wp:docPr id="36" name="图片 36" descr="C:\Users\ADMINI~1\AppData\Local\Temp\WeChat Files\53cc7d10704c1fbabb4e247830b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WeChat Files\53cc7d10704c1fbabb4e247830b8475.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10180" cy="2108200"/>
                          </a:xfrm>
                          <a:prstGeom prst="rect">
                            <a:avLst/>
                          </a:prstGeom>
                          <a:noFill/>
                          <a:ln>
                            <a:noFill/>
                          </a:ln>
                        </pic:spPr>
                      </pic:pic>
                    </a:graphicData>
                  </a:graphic>
                </wp:anchor>
              </w:drawing>
            </w:r>
            <w:r w:rsidRPr="00167FFA">
              <w:rPr>
                <w:rFonts w:ascii="仿宋" w:eastAsia="仿宋" w:hAnsi="仿宋" w:hint="eastAsia"/>
                <w:sz w:val="32"/>
                <w:szCs w:val="32"/>
              </w:rPr>
              <w:t>野外调查照片（清水沟）</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22．高性能生物纳米磁珠的产业化项目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803"/>
        </w:trPr>
        <w:tc>
          <w:tcPr>
            <w:tcW w:w="9054" w:type="dxa"/>
          </w:tcPr>
          <w:p w:rsidR="005472BD" w:rsidRPr="00167FFA" w:rsidRDefault="004D6A10" w:rsidP="00167FFA">
            <w:pPr>
              <w:spacing w:line="600" w:lineRule="exact"/>
              <w:ind w:firstLineChars="200" w:firstLine="640"/>
              <w:rPr>
                <w:rFonts w:ascii="仿宋" w:eastAsia="仿宋" w:hAnsi="仿宋" w:cs="仿宋_GB2312"/>
                <w:kern w:val="0"/>
                <w:sz w:val="32"/>
                <w:szCs w:val="32"/>
              </w:rPr>
            </w:pPr>
            <w:r w:rsidRPr="00167FFA">
              <w:rPr>
                <w:rFonts w:ascii="仿宋" w:eastAsia="仿宋" w:hAnsi="仿宋" w:hint="eastAsia"/>
                <w:sz w:val="32"/>
                <w:szCs w:val="32"/>
              </w:rPr>
              <w:lastRenderedPageBreak/>
              <w:t>由传感技术研究所承担的高新技术产业化项目“高性能生物纳米磁珠的产业化”在前期已经能够稳定制备的四氧化三铁纳米团簇和高性能氧化硅磁珠的基础上，通过表面功能化修饰，形成适用于不同领域的功能化磁珠，满足不同客户的需求，提高产品附加值，在原有磁性纳米材料中试线的基础上，完成中试设备的功能延伸，搭建更加完善的磁性纳米材料及其表面功能化的中试线。同时摸索中试线上产品的制备工艺，实现规模放大，为产品真正移植到工业生产线上奠定基础。已申请3项发明专利；培养中级职称专业技术人员2名；制定企业标准2项；</w:t>
            </w:r>
            <w:r w:rsidRPr="00167FFA">
              <w:rPr>
                <w:rFonts w:ascii="仿宋" w:eastAsia="仿宋" w:hAnsi="仿宋" w:cs="仿宋_GB2312" w:hint="eastAsia"/>
                <w:kern w:val="0"/>
                <w:sz w:val="32"/>
                <w:szCs w:val="32"/>
              </w:rPr>
              <w:t>服务企业数3家。项目在基础磁珠的基础上，对制备功能化生物纳米磁珠的工艺条件正在进行改进，提高产品性能和良品率，为实际应用提供基础。</w:t>
            </w:r>
          </w:p>
          <w:p w:rsidR="005472BD" w:rsidRPr="00167FFA" w:rsidRDefault="004D6A10" w:rsidP="00167FFA">
            <w:pPr>
              <w:spacing w:line="600" w:lineRule="exact"/>
              <w:ind w:firstLineChars="200" w:firstLine="640"/>
              <w:rPr>
                <w:rFonts w:ascii="仿宋" w:eastAsia="仿宋" w:hAnsi="仿宋" w:cs="仿宋_GB2312"/>
                <w:kern w:val="0"/>
                <w:sz w:val="32"/>
                <w:szCs w:val="32"/>
              </w:rPr>
            </w:pPr>
            <w:r w:rsidRPr="00167FFA">
              <w:rPr>
                <w:rFonts w:ascii="仿宋" w:eastAsia="仿宋" w:hAnsi="仿宋" w:cs="仿宋_GB2312" w:hint="eastAsia"/>
                <w:kern w:val="0"/>
                <w:sz w:val="32"/>
                <w:szCs w:val="32"/>
              </w:rPr>
              <w:t>主要实施内容有：一是将合成过程从实验室的小型、自搭反应装置转移到可批量化、规模化、连续化生产的装置；二是可重复性，可控性实验，确保实验过程的精确控制和实验结果的准确性；三是根据用户使用需求，择优选取性能优良的生物纳米磁珠进行小批量生产；四是广泛与科研院所、企业开展合作，开发基于纳米生物磁珠的试剂盒、检测试纸条及便携式设备；进行市场推广，与客户签订供货合同，建立长期合作关系。</w:t>
            </w:r>
          </w:p>
        </w:tc>
      </w:tr>
      <w:tr w:rsidR="005472BD" w:rsidRPr="00167FFA">
        <w:trPr>
          <w:trHeight w:val="1401"/>
        </w:trPr>
        <w:tc>
          <w:tcPr>
            <w:tcW w:w="9054" w:type="dxa"/>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加强项目预算管理，细化项目年度预算；加大成果产业化和转化。</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23．巨磁阻MEMS转速传感器的产业化项目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803"/>
        </w:trPr>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传感技术研究所承担的高新技术产业化项目“巨磁阻MEMS转速传感器的产业化”重点在前期科研成果的基础上，完善开发出巨磁阻传感器，形成稳定的产品，本项目转速传感系统的核心在传感器芯片的稳定工艺和生产。目前，新增电泳仪1台，申请发明专利4个，制定企业标准3项，培养博士一名，中级职称专业技术人员一名，参加培训及学术会议6次。项目预期研制的转速传感器应用范围广阔，除灵敏度比现有产品高外，还具有更微小、成本更低等特点。目前，该类高档的MEMS传感器芯片以进口产品为主，价格高。我们研制的传感器定位准确，并且产品的技术专有性比较强，形成规模生产后成本不高，价格比国际产品至少低1/3，产品的利润空间相对较高，经济效益非常可观，具有极大的市场销量。</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主要实施内容有：自旋阀性能的调整、工艺的完善，以达到转速传感器的要求，可在前期自旋阀产品的基础上做结构和工艺调整，优化自旋阀的结构、工艺方式、工艺流程，可得到更好的、高磁阻率、低矫顽力的自旋阀；MEMS转速传感器的研制，在前期项目的基础上，改进传感器的微结构，完善其工艺，添加部分产品阶段需要的结构和工艺，以此来提高传感器的性能。最终达到性能稳定、工艺稳定、产品稳定的程度；小批量生产和进行市场推广。</w:t>
            </w:r>
          </w:p>
        </w:tc>
      </w:tr>
      <w:tr w:rsidR="005472BD" w:rsidRPr="00167FFA">
        <w:trPr>
          <w:trHeight w:val="1401"/>
        </w:trPr>
        <w:tc>
          <w:tcPr>
            <w:tcW w:w="9054" w:type="dxa"/>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加强预算管理，细化项目年度预算；加快中试及产业化进度。</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24．农村饮用水水质处理一体化设备产业化研发项目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cs="华文楷体"/>
                <w:b/>
                <w:bCs/>
                <w:sz w:val="32"/>
                <w:szCs w:val="32"/>
              </w:rPr>
            </w:pPr>
            <w:r w:rsidRPr="00167FFA">
              <w:rPr>
                <w:rFonts w:ascii="仿宋" w:eastAsia="仿宋" w:hAnsi="仿宋" w:hint="eastAsia"/>
                <w:sz w:val="32"/>
                <w:szCs w:val="32"/>
              </w:rPr>
              <w:t>由自动化研究所承担的高新技术产业化项目“农村饮用水水质处理一体化设备产业化研发”主要设计和研发适合我国缺水地区农村人口安全饮水的一体化净水设备，通过分析农村现有饮水条件和水质污染状况，提出利用复合水质净化技术和自控技术设计开发出一种能针对性处理农村饮用水的水质要求，减少运行成本，又能使用便捷的农村饮用水高效能净水设备。通过本项目的实施，对于解决当前农村安全饮水问题和支持农村脱贫攻坚工作，具有重大的社会意义。目前已设计、生产产品样机4台；授权专利1项，申请专利2项。新的净水技术突破和新型农村净水设备的研发，成为提高农村饮水质量的关键，从而具有极大的市场前景。项目实施按计划进行，已取得的绩效目标符合任务书计划。</w:t>
            </w:r>
          </w:p>
        </w:tc>
      </w:tr>
      <w:tr w:rsidR="005472BD" w:rsidRPr="00167FFA">
        <w:trPr>
          <w:trHeight w:val="1401"/>
        </w:trPr>
        <w:tc>
          <w:tcPr>
            <w:tcW w:w="9054" w:type="dxa"/>
            <w:gridSpan w:val="2"/>
          </w:tcPr>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加快项目研发进度，尽快形成可推广的设备；加强资金管理使用的计划性，保证资金使用高效合理。</w:t>
            </w:r>
          </w:p>
        </w:tc>
      </w:tr>
      <w:tr w:rsidR="005472BD">
        <w:trPr>
          <w:trHeight w:val="4191"/>
        </w:trPr>
        <w:tc>
          <w:tcPr>
            <w:tcW w:w="4527" w:type="dxa"/>
          </w:tcPr>
          <w:p w:rsidR="005472BD" w:rsidRDefault="004D6A10">
            <w:pPr>
              <w:spacing w:line="600" w:lineRule="exact"/>
              <w:jc w:val="center"/>
              <w:rPr>
                <w:sz w:val="24"/>
              </w:rPr>
            </w:pPr>
            <w:r>
              <w:rPr>
                <w:rFonts w:hint="eastAsia"/>
                <w:sz w:val="24"/>
              </w:rPr>
              <w:lastRenderedPageBreak/>
              <w:t>内部结构图</w:t>
            </w:r>
            <w:r>
              <w:rPr>
                <w:rFonts w:hint="eastAsia"/>
                <w:noProof/>
                <w:sz w:val="24"/>
              </w:rPr>
              <w:drawing>
                <wp:anchor distT="0" distB="0" distL="114300" distR="114300" simplePos="0" relativeHeight="251670016" behindDoc="0" locked="0" layoutInCell="1" allowOverlap="1">
                  <wp:simplePos x="0" y="0"/>
                  <wp:positionH relativeFrom="column">
                    <wp:posOffset>114300</wp:posOffset>
                  </wp:positionH>
                  <wp:positionV relativeFrom="paragraph">
                    <wp:posOffset>41910</wp:posOffset>
                  </wp:positionV>
                  <wp:extent cx="2481580" cy="2260600"/>
                  <wp:effectExtent l="0" t="0" r="0" b="0"/>
                  <wp:wrapSquare wrapText="bothSides"/>
                  <wp:docPr id="24" name="图片 2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7"/>
                          <pic:cNvPicPr>
                            <a:picLocks noChangeAspect="1" noChangeArrowheads="1"/>
                          </pic:cNvPicPr>
                        </pic:nvPicPr>
                        <pic:blipFill>
                          <a:blip r:embed="rId4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5594" t="19334" r="24217" b="17847"/>
                          <a:stretch>
                            <a:fillRect/>
                          </a:stretch>
                        </pic:blipFill>
                        <pic:spPr>
                          <a:xfrm>
                            <a:off x="0" y="0"/>
                            <a:ext cx="2481580" cy="2260600"/>
                          </a:xfrm>
                          <a:prstGeom prst="rect">
                            <a:avLst/>
                          </a:prstGeom>
                          <a:noFill/>
                          <a:ln>
                            <a:noFill/>
                          </a:ln>
                        </pic:spPr>
                      </pic:pic>
                    </a:graphicData>
                  </a:graphic>
                </wp:anchor>
              </w:drawing>
            </w:r>
          </w:p>
        </w:tc>
        <w:tc>
          <w:tcPr>
            <w:tcW w:w="4527" w:type="dxa"/>
          </w:tcPr>
          <w:p w:rsidR="005472BD" w:rsidRDefault="004D6A10">
            <w:pPr>
              <w:spacing w:line="600" w:lineRule="exact"/>
              <w:jc w:val="center"/>
              <w:rPr>
                <w:sz w:val="24"/>
              </w:rPr>
            </w:pPr>
            <w:r>
              <w:rPr>
                <w:rFonts w:hint="eastAsia"/>
                <w:noProof/>
                <w:sz w:val="24"/>
              </w:rPr>
              <w:drawing>
                <wp:anchor distT="0" distB="0" distL="114300" distR="114300" simplePos="0" relativeHeight="251671040" behindDoc="0" locked="0" layoutInCell="1" allowOverlap="1">
                  <wp:simplePos x="0" y="0"/>
                  <wp:positionH relativeFrom="column">
                    <wp:posOffset>6350</wp:posOffset>
                  </wp:positionH>
                  <wp:positionV relativeFrom="paragraph">
                    <wp:posOffset>141605</wp:posOffset>
                  </wp:positionV>
                  <wp:extent cx="2652395" cy="2078990"/>
                  <wp:effectExtent l="0" t="0" r="14605" b="16510"/>
                  <wp:wrapSquare wrapText="bothSides"/>
                  <wp:docPr id="37" name="图片 37"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1"/>
                          <pic:cNvPicPr>
                            <a:picLocks noChangeAspect="1" noChangeArrowheads="1"/>
                          </pic:cNvPicPr>
                        </pic:nvPicPr>
                        <pic:blipFill>
                          <a:blip r:embed="rId4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6805" t="17949" r="19514" b="18909"/>
                          <a:stretch>
                            <a:fillRect/>
                          </a:stretch>
                        </pic:blipFill>
                        <pic:spPr>
                          <a:xfrm>
                            <a:off x="0" y="0"/>
                            <a:ext cx="2652395" cy="2078990"/>
                          </a:xfrm>
                          <a:prstGeom prst="rect">
                            <a:avLst/>
                          </a:prstGeom>
                          <a:noFill/>
                          <a:ln>
                            <a:noFill/>
                          </a:ln>
                        </pic:spPr>
                      </pic:pic>
                    </a:graphicData>
                  </a:graphic>
                </wp:anchor>
              </w:drawing>
            </w:r>
            <w:r>
              <w:rPr>
                <w:rFonts w:hint="eastAsia"/>
                <w:sz w:val="24"/>
              </w:rPr>
              <w:t>设备外观效果图</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25．高性能纳米永磁材料开发项目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803"/>
        </w:trPr>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甘肃省科学院实验工厂（纳米应用技术研究室）承担的高新技术产业化项目“高性能纳米永磁材料开发”针对社会需求急迫的高性能钕铁硼合金永磁材料和铁氧体永磁材料，采用自主开发的MPNP宏量制备纳米粉体技术来制备各种永磁用纳米粉体，通过不同工艺对金属、合金、氧化物纳米粉体进行处理，同时展开纳米材料的实际应用问题研究，利用纳米粉体不同于常规材料的特殊性能，开发出高性能纳米永磁材料。本项目培养相关技术人员共计6人。项目完成并转化推广后可直接转化为经济效益，同时能推动我省的稀土产业应用升级。随着国家新能源汽车电动汽车产业的不断推进，汽车产业对高性能永磁材料的需求将会极大促进高性能永磁行业的发展。开发高性能纳米永磁材料技术，能够抢占市场技术高点，后续市场成熟经济效益是非常可观的。</w:t>
            </w:r>
          </w:p>
        </w:tc>
      </w:tr>
      <w:tr w:rsidR="005472BD">
        <w:trPr>
          <w:trHeight w:val="705"/>
        </w:trPr>
        <w:tc>
          <w:tcPr>
            <w:tcW w:w="9054" w:type="dxa"/>
          </w:tcPr>
          <w:p w:rsidR="005472BD" w:rsidRDefault="004D6A10" w:rsidP="00DE52C5">
            <w:pPr>
              <w:spacing w:line="600" w:lineRule="exact"/>
              <w:ind w:firstLineChars="200" w:firstLine="600"/>
            </w:pPr>
            <w:r>
              <w:rPr>
                <w:rFonts w:hint="eastAsia"/>
                <w:b/>
                <w:bCs/>
              </w:rPr>
              <w:t>建议：</w:t>
            </w:r>
            <w:r>
              <w:rPr>
                <w:rFonts w:hint="eastAsia"/>
              </w:rPr>
              <w:t>加强项目预算管理，细化项目年度预算。</w:t>
            </w:r>
          </w:p>
        </w:tc>
      </w:tr>
      <w:tr w:rsidR="005472BD">
        <w:trPr>
          <w:trHeight w:val="4191"/>
        </w:trPr>
        <w:tc>
          <w:tcPr>
            <w:tcW w:w="9054" w:type="dxa"/>
          </w:tcPr>
          <w:p w:rsidR="005472BD" w:rsidRDefault="004D6A10">
            <w:pPr>
              <w:spacing w:line="600" w:lineRule="exact"/>
              <w:ind w:firstLineChars="200" w:firstLine="480"/>
              <w:jc w:val="center"/>
            </w:pPr>
            <w:r>
              <w:rPr>
                <w:rFonts w:hint="eastAsia"/>
                <w:sz w:val="24"/>
              </w:rPr>
              <w:lastRenderedPageBreak/>
              <w:t>工艺流程图</w:t>
            </w:r>
            <w:r>
              <w:rPr>
                <w:rFonts w:eastAsia="宋体"/>
                <w:noProof/>
              </w:rPr>
              <w:drawing>
                <wp:anchor distT="0" distB="0" distL="114300" distR="114300" simplePos="0" relativeHeight="251672064" behindDoc="0" locked="0" layoutInCell="1" allowOverlap="1">
                  <wp:simplePos x="0" y="0"/>
                  <wp:positionH relativeFrom="column">
                    <wp:posOffset>135255</wp:posOffset>
                  </wp:positionH>
                  <wp:positionV relativeFrom="paragraph">
                    <wp:posOffset>95885</wp:posOffset>
                  </wp:positionV>
                  <wp:extent cx="5272405" cy="2422525"/>
                  <wp:effectExtent l="0" t="0" r="4445" b="1587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2405" cy="2422525"/>
                          </a:xfrm>
                          <a:prstGeom prst="rect">
                            <a:avLst/>
                          </a:prstGeom>
                        </pic:spPr>
                      </pic:pic>
                    </a:graphicData>
                  </a:graphic>
                </wp:anchor>
              </w:drawing>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26．一种用于输送带颗粒介质的无轴封永磁传动泵项目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rsidRPr="00167FFA">
        <w:trPr>
          <w:trHeight w:val="6803"/>
        </w:trPr>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磁性器件研究所承担的应用研发类项目“一种用于输送带颗粒介质的无轴封永磁传动泵”基于解决河南佰利联新材料有限公司输送带颗粒介质需用磁力传动泵难题，对国内泵行业进行系统调研，并就调研结果向部分老客户进行考证，确定进行本产业化项目，项目立项后综合考虑确定了实施进度和阶段性任务。吸纳和培养技术人员3人；形成无轴封永磁传动泵设计图纸1套；组织完成各类培训10次。产品的成功研发既减轻了操作人员的劳动强度，同时又降低了使用成本，为制造业向高端技术水平跃进发挥了极其重要的作用，可应用于化工、石油等行业。项目管理制度健全，预算执行规范，取得了预期效果。</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实施内容有：本项目立项后，由项目负责人牵头，对前期整理的资料和数据进行深入分析，查阅文献资料，对设计方案和图纸反复进行论证，前后组织召开专题会议讨论5次，审核设计方</w:t>
            </w:r>
            <w:r w:rsidRPr="00167FFA">
              <w:rPr>
                <w:rFonts w:ascii="仿宋" w:eastAsia="仿宋" w:hAnsi="仿宋" w:hint="eastAsia"/>
                <w:sz w:val="32"/>
                <w:szCs w:val="32"/>
              </w:rPr>
              <w:lastRenderedPageBreak/>
              <w:t>案及图纸8次，期间邀请河南佰利联新材料有限公司技术人员2次来研究所为设计建言献策，最终形成无轴封永磁传动泵设计图纸1套；在项目组的共同努力下，固化了泵体、叶轮、泵盖、轴承座、托架、外磁转子、内磁转子、隔离套加工工艺；本项目完成了拟采购设备的调研；根据项目实施计划，初步完成了采购等环节人员培训。</w:t>
            </w:r>
          </w:p>
        </w:tc>
      </w:tr>
      <w:tr w:rsidR="005472BD" w:rsidRPr="00167FFA">
        <w:trPr>
          <w:trHeight w:val="1251"/>
        </w:trPr>
        <w:tc>
          <w:tcPr>
            <w:tcW w:w="9054" w:type="dxa"/>
          </w:tcPr>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lastRenderedPageBreak/>
              <w:t>建议：</w:t>
            </w:r>
            <w:r w:rsidRPr="00167FFA">
              <w:rPr>
                <w:rFonts w:ascii="仿宋" w:eastAsia="仿宋" w:hAnsi="仿宋" w:hint="eastAsia"/>
                <w:sz w:val="32"/>
                <w:szCs w:val="32"/>
              </w:rPr>
              <w:t>继续提升开发产品市场的能力，更好的体现项目各类效益。</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27．白银分院设备购置费项目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472BD">
        <w:trPr>
          <w:trHeight w:val="6266"/>
        </w:trPr>
        <w:tc>
          <w:tcPr>
            <w:tcW w:w="9054" w:type="dxa"/>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lastRenderedPageBreak/>
              <w:t>由甘肃省科学院白银分院承担的科研基础能力建设类项目“白银分院设备购置费”依托甘肃省科学院纳米应用技术研究室和其他支撑单位，面向表面工程、生物农药、纳米高效农业、纳米超级合金、纳米硅太阳能应用等五个研究方向的研究和成果转化推广工作，建设白银分院（白银市实创高新产业研究院）的科研平台，推动甘肃省科学院的科技成果在白银地区的产品化和产业化进度，为白银市产业发展提供人才和技术支撑，促进地方社会经济发展。建有纳米高效农业应用研究室、纳米硅太阳能应用技术研究室、表面工程应用研究室、纳米超级合金研究室、生物农药研究室。截至2019年底共采购实验家具398套，实验设备42台，培养相关技术人员共6人。为我院及其他高校和科研单位的成果转化提供高标准的推广平台。本实验平台建设完成后，可更好地服务兰州白银国家自主创新示范区建设。</w:t>
            </w:r>
          </w:p>
        </w:tc>
      </w:tr>
      <w:tr w:rsidR="005472BD">
        <w:trPr>
          <w:trHeight w:val="662"/>
        </w:trPr>
        <w:tc>
          <w:tcPr>
            <w:tcW w:w="9054" w:type="dxa"/>
          </w:tcPr>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加强预算管理，细化年度预算。</w:t>
            </w:r>
          </w:p>
        </w:tc>
      </w:tr>
      <w:tr w:rsidR="005472BD">
        <w:trPr>
          <w:trHeight w:val="3682"/>
        </w:trPr>
        <w:tc>
          <w:tcPr>
            <w:tcW w:w="9054" w:type="dxa"/>
          </w:tcPr>
          <w:p w:rsidR="005472BD" w:rsidRDefault="004D6A10">
            <w:pPr>
              <w:spacing w:line="600" w:lineRule="exact"/>
              <w:jc w:val="center"/>
              <w:rPr>
                <w:rFonts w:ascii="华文楷体" w:eastAsia="华文楷体" w:hAnsi="华文楷体" w:cs="华文楷体"/>
                <w:b/>
                <w:bCs/>
              </w:rPr>
            </w:pPr>
            <w:r>
              <w:rPr>
                <w:rFonts w:ascii="仿宋_GB2312" w:hAnsi="仿宋_GB2312" w:cs="仿宋_GB2312"/>
                <w:b/>
                <w:bCs/>
                <w:noProof/>
                <w:kern w:val="0"/>
                <w:sz w:val="28"/>
                <w:szCs w:val="28"/>
              </w:rPr>
              <w:drawing>
                <wp:anchor distT="0" distB="0" distL="0" distR="0" simplePos="0" relativeHeight="251661824" behindDoc="1" locked="0" layoutInCell="1" allowOverlap="1">
                  <wp:simplePos x="0" y="0"/>
                  <wp:positionH relativeFrom="column">
                    <wp:posOffset>11430</wp:posOffset>
                  </wp:positionH>
                  <wp:positionV relativeFrom="paragraph">
                    <wp:posOffset>73660</wp:posOffset>
                  </wp:positionV>
                  <wp:extent cx="5551805" cy="2143760"/>
                  <wp:effectExtent l="0" t="0" r="10795" b="0"/>
                  <wp:wrapTight wrapText="bothSides">
                    <wp:wrapPolygon edited="0">
                      <wp:start x="0" y="0"/>
                      <wp:lineTo x="0" y="21498"/>
                      <wp:lineTo x="21494" y="21498"/>
                      <wp:lineTo x="21494"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51805" cy="2143760"/>
                          </a:xfrm>
                          <a:prstGeom prst="rect">
                            <a:avLst/>
                          </a:prstGeom>
                          <a:noFill/>
                        </pic:spPr>
                      </pic:pic>
                    </a:graphicData>
                  </a:graphic>
                </wp:anchor>
              </w:drawing>
            </w:r>
            <w:r>
              <w:rPr>
                <w:rFonts w:hint="eastAsia"/>
                <w:sz w:val="24"/>
              </w:rPr>
              <w:t>润滑油实验设备</w:t>
            </w:r>
          </w:p>
        </w:tc>
      </w:tr>
      <w:tr w:rsidR="005472BD">
        <w:trPr>
          <w:trHeight w:val="12741"/>
        </w:trPr>
        <w:tc>
          <w:tcPr>
            <w:tcW w:w="9054" w:type="dxa"/>
          </w:tcPr>
          <w:p w:rsidR="005472BD" w:rsidRDefault="004D6A10">
            <w:pPr>
              <w:spacing w:line="600" w:lineRule="exact"/>
              <w:jc w:val="center"/>
              <w:rPr>
                <w:sz w:val="24"/>
              </w:rPr>
            </w:pPr>
            <w:r>
              <w:rPr>
                <w:rFonts w:hint="eastAsia"/>
                <w:noProof/>
                <w:sz w:val="24"/>
              </w:rPr>
              <w:lastRenderedPageBreak/>
              <w:drawing>
                <wp:anchor distT="0" distB="0" distL="0" distR="0" simplePos="0" relativeHeight="251663872" behindDoc="1" locked="0" layoutInCell="1" allowOverlap="1">
                  <wp:simplePos x="0" y="0"/>
                  <wp:positionH relativeFrom="column">
                    <wp:posOffset>-1905</wp:posOffset>
                  </wp:positionH>
                  <wp:positionV relativeFrom="paragraph">
                    <wp:posOffset>63500</wp:posOffset>
                  </wp:positionV>
                  <wp:extent cx="5659120" cy="2025650"/>
                  <wp:effectExtent l="0" t="0" r="17780" b="0"/>
                  <wp:wrapTight wrapText="bothSides">
                    <wp:wrapPolygon edited="0">
                      <wp:start x="0" y="0"/>
                      <wp:lineTo x="0" y="21329"/>
                      <wp:lineTo x="21522" y="21329"/>
                      <wp:lineTo x="21522"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59120" cy="2025650"/>
                          </a:xfrm>
                          <a:prstGeom prst="rect">
                            <a:avLst/>
                          </a:prstGeom>
                          <a:noFill/>
                        </pic:spPr>
                      </pic:pic>
                    </a:graphicData>
                  </a:graphic>
                </wp:anchor>
              </w:drawing>
            </w:r>
            <w:r>
              <w:rPr>
                <w:rFonts w:hint="eastAsia"/>
                <w:sz w:val="24"/>
              </w:rPr>
              <w:t>纳米高效农业及生物实验室设备</w:t>
            </w:r>
          </w:p>
          <w:p w:rsidR="005472BD" w:rsidRDefault="004D6A10">
            <w:pPr>
              <w:spacing w:line="600" w:lineRule="exact"/>
              <w:jc w:val="center"/>
              <w:rPr>
                <w:sz w:val="24"/>
              </w:rPr>
            </w:pPr>
            <w:r>
              <w:rPr>
                <w:rFonts w:ascii="仿宋_GB2312" w:hAnsi="仿宋_GB2312" w:cs="仿宋_GB2312"/>
                <w:noProof/>
                <w:sz w:val="28"/>
                <w:szCs w:val="28"/>
              </w:rPr>
              <w:drawing>
                <wp:anchor distT="0" distB="0" distL="0" distR="0" simplePos="0" relativeHeight="251665920" behindDoc="0" locked="0" layoutInCell="1" allowOverlap="1">
                  <wp:simplePos x="0" y="0"/>
                  <wp:positionH relativeFrom="column">
                    <wp:posOffset>-12700</wp:posOffset>
                  </wp:positionH>
                  <wp:positionV relativeFrom="paragraph">
                    <wp:posOffset>158750</wp:posOffset>
                  </wp:positionV>
                  <wp:extent cx="5622290" cy="2781935"/>
                  <wp:effectExtent l="0" t="0" r="16510" b="18415"/>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2290" cy="2781935"/>
                          </a:xfrm>
                          <a:prstGeom prst="rect">
                            <a:avLst/>
                          </a:prstGeom>
                          <a:noFill/>
                        </pic:spPr>
                      </pic:pic>
                    </a:graphicData>
                  </a:graphic>
                </wp:anchor>
              </w:drawing>
            </w:r>
            <w:r>
              <w:rPr>
                <w:rFonts w:hint="eastAsia"/>
                <w:sz w:val="24"/>
              </w:rPr>
              <w:t>部分实验家具</w:t>
            </w:r>
          </w:p>
          <w:p w:rsidR="005472BD" w:rsidRDefault="004D6A10">
            <w:pPr>
              <w:spacing w:line="600" w:lineRule="exact"/>
              <w:jc w:val="center"/>
              <w:rPr>
                <w:sz w:val="24"/>
              </w:rPr>
            </w:pPr>
            <w:r>
              <w:rPr>
                <w:rFonts w:ascii="仿宋_GB2312" w:hAnsi="仿宋_GB2312" w:cs="仿宋_GB2312"/>
                <w:b/>
                <w:bCs/>
                <w:noProof/>
                <w:kern w:val="0"/>
                <w:sz w:val="28"/>
                <w:szCs w:val="28"/>
              </w:rPr>
              <w:lastRenderedPageBreak/>
              <w:drawing>
                <wp:anchor distT="0" distB="0" distL="0" distR="0" simplePos="0" relativeHeight="251666944" behindDoc="1" locked="0" layoutInCell="1" allowOverlap="1">
                  <wp:simplePos x="0" y="0"/>
                  <wp:positionH relativeFrom="column">
                    <wp:posOffset>37465</wp:posOffset>
                  </wp:positionH>
                  <wp:positionV relativeFrom="paragraph">
                    <wp:posOffset>278130</wp:posOffset>
                  </wp:positionV>
                  <wp:extent cx="5525135" cy="1788160"/>
                  <wp:effectExtent l="0" t="0" r="18415" b="59690"/>
                  <wp:wrapTight wrapText="bothSides">
                    <wp:wrapPolygon edited="0">
                      <wp:start x="0" y="0"/>
                      <wp:lineTo x="0" y="21401"/>
                      <wp:lineTo x="21523" y="21401"/>
                      <wp:lineTo x="21523"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25135" cy="1788160"/>
                          </a:xfrm>
                          <a:prstGeom prst="rect">
                            <a:avLst/>
                          </a:prstGeom>
                          <a:noFill/>
                        </pic:spPr>
                      </pic:pic>
                    </a:graphicData>
                  </a:graphic>
                </wp:anchor>
              </w:drawing>
            </w:r>
            <w:r>
              <w:rPr>
                <w:rFonts w:hint="eastAsia"/>
                <w:sz w:val="24"/>
              </w:rPr>
              <w:t>无菌间实验设备</w:t>
            </w:r>
          </w:p>
        </w:tc>
      </w:tr>
    </w:tbl>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lastRenderedPageBreak/>
        <w:t>28．南山绿化上水管网改造项目</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8"/>
        <w:gridCol w:w="4566"/>
      </w:tblGrid>
      <w:tr w:rsidR="005472BD" w:rsidRPr="00167FFA">
        <w:trPr>
          <w:trHeight w:val="6803"/>
        </w:trPr>
        <w:tc>
          <w:tcPr>
            <w:tcW w:w="9054" w:type="dxa"/>
            <w:gridSpan w:val="2"/>
          </w:tcPr>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由甘肃省科学院后勤服务中心承担的科研基础能力建设类项目“南山绿化上水管网改造”从两山后五泉供水管道接水，敷设管道DN100镀锌钢管860m，安装100m</w:t>
            </w:r>
            <w:r w:rsidRPr="00167FFA">
              <w:rPr>
                <w:rFonts w:ascii="仿宋" w:hint="eastAsia"/>
                <w:sz w:val="32"/>
                <w:szCs w:val="32"/>
              </w:rPr>
              <w:t>³</w:t>
            </w:r>
            <w:r w:rsidRPr="00167FFA">
              <w:rPr>
                <w:rFonts w:ascii="仿宋" w:eastAsia="仿宋" w:hAnsi="仿宋" w:hint="eastAsia"/>
                <w:sz w:val="32"/>
                <w:szCs w:val="32"/>
              </w:rPr>
              <w:t>成品玻璃钢蓄水池一座，进行喷灌配套，对230亩科学院绿化基地实施绿化水利配套。本工程为甘肃省科学院建成了一套完整的集蓄水与喷灌于一体的绿化浇灌系统。本工程实施后，将极大的改善区域环境面貌，工程实施后形成良好的生态系统，对促进生态环境的改善起到重要作用，对于减少水土流失，增加就业，提高农民收入，改善居住条件起到很大的促进作用，其社会效益明显。抑制自然灾害，减少水土流失，促进生态平衡，改善生态环境，对维护良好的城市环境将起到重要作用，形成一个绿色、优美的生态系统，大力发展皋兰山生态旅游观光产业。</w:t>
            </w:r>
          </w:p>
        </w:tc>
      </w:tr>
      <w:tr w:rsidR="005472BD" w:rsidRPr="00167FFA">
        <w:trPr>
          <w:trHeight w:val="741"/>
        </w:trPr>
        <w:tc>
          <w:tcPr>
            <w:tcW w:w="9054" w:type="dxa"/>
            <w:gridSpan w:val="2"/>
          </w:tcPr>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建议：</w:t>
            </w:r>
            <w:r w:rsidRPr="00167FFA">
              <w:rPr>
                <w:rFonts w:ascii="仿宋" w:eastAsia="仿宋" w:hAnsi="仿宋" w:hint="eastAsia"/>
                <w:sz w:val="32"/>
                <w:szCs w:val="32"/>
              </w:rPr>
              <w:t>将资金按要求进一步进行合理配置。</w:t>
            </w:r>
          </w:p>
        </w:tc>
      </w:tr>
      <w:tr w:rsidR="005472BD">
        <w:trPr>
          <w:trHeight w:val="4191"/>
        </w:trPr>
        <w:tc>
          <w:tcPr>
            <w:tcW w:w="4527" w:type="dxa"/>
          </w:tcPr>
          <w:p w:rsidR="005472BD" w:rsidRDefault="004D6A10">
            <w:pPr>
              <w:spacing w:line="600" w:lineRule="exact"/>
              <w:jc w:val="center"/>
            </w:pPr>
            <w:r>
              <w:rPr>
                <w:rFonts w:hint="eastAsia"/>
                <w:noProof/>
                <w:sz w:val="24"/>
              </w:rPr>
              <w:drawing>
                <wp:anchor distT="0" distB="0" distL="114300" distR="114300" simplePos="0" relativeHeight="251653632" behindDoc="0" locked="0" layoutInCell="1" allowOverlap="1">
                  <wp:simplePos x="0" y="0"/>
                  <wp:positionH relativeFrom="column">
                    <wp:posOffset>29845</wp:posOffset>
                  </wp:positionH>
                  <wp:positionV relativeFrom="paragraph">
                    <wp:posOffset>73660</wp:posOffset>
                  </wp:positionV>
                  <wp:extent cx="2684145" cy="2274570"/>
                  <wp:effectExtent l="0" t="0" r="1905" b="11430"/>
                  <wp:wrapTopAndBottom/>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3"/>
                          <a:stretch>
                            <a:fillRect/>
                          </a:stretch>
                        </pic:blipFill>
                        <pic:spPr>
                          <a:xfrm>
                            <a:off x="0" y="0"/>
                            <a:ext cx="2684145" cy="2274570"/>
                          </a:xfrm>
                          <a:prstGeom prst="rect">
                            <a:avLst/>
                          </a:prstGeom>
                          <a:noFill/>
                          <a:ln>
                            <a:noFill/>
                          </a:ln>
                        </pic:spPr>
                      </pic:pic>
                    </a:graphicData>
                  </a:graphic>
                </wp:anchor>
              </w:drawing>
            </w:r>
            <w:r>
              <w:rPr>
                <w:rFonts w:hint="eastAsia"/>
                <w:sz w:val="24"/>
              </w:rPr>
              <w:t>施工完成后的喷灌覆盖面积图</w:t>
            </w:r>
          </w:p>
        </w:tc>
        <w:tc>
          <w:tcPr>
            <w:tcW w:w="4527" w:type="dxa"/>
          </w:tcPr>
          <w:p w:rsidR="005472BD" w:rsidRDefault="004D6A10">
            <w:pPr>
              <w:spacing w:line="600" w:lineRule="exact"/>
              <w:jc w:val="center"/>
              <w:rPr>
                <w:sz w:val="24"/>
              </w:rPr>
            </w:pPr>
            <w:r>
              <w:rPr>
                <w:rFonts w:hint="eastAsia"/>
                <w:sz w:val="24"/>
              </w:rPr>
              <w:t>建成的蓄水池</w:t>
            </w:r>
            <w:r>
              <w:rPr>
                <w:rFonts w:hint="eastAsia"/>
                <w:noProof/>
                <w:sz w:val="24"/>
              </w:rPr>
              <w:drawing>
                <wp:anchor distT="0" distB="0" distL="114300" distR="114300" simplePos="0" relativeHeight="251654656" behindDoc="0" locked="0" layoutInCell="1" allowOverlap="1">
                  <wp:simplePos x="0" y="0"/>
                  <wp:positionH relativeFrom="column">
                    <wp:posOffset>-17145</wp:posOffset>
                  </wp:positionH>
                  <wp:positionV relativeFrom="paragraph">
                    <wp:posOffset>88265</wp:posOffset>
                  </wp:positionV>
                  <wp:extent cx="2753360" cy="2249170"/>
                  <wp:effectExtent l="0" t="0" r="8890" b="17780"/>
                  <wp:wrapTopAndBottom/>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4"/>
                          <a:stretch>
                            <a:fillRect/>
                          </a:stretch>
                        </pic:blipFill>
                        <pic:spPr>
                          <a:xfrm>
                            <a:off x="0" y="0"/>
                            <a:ext cx="2753360" cy="2249170"/>
                          </a:xfrm>
                          <a:prstGeom prst="rect">
                            <a:avLst/>
                          </a:prstGeom>
                          <a:noFill/>
                          <a:ln>
                            <a:noFill/>
                          </a:ln>
                        </pic:spPr>
                      </pic:pic>
                    </a:graphicData>
                  </a:graphic>
                </wp:anchor>
              </w:drawing>
            </w:r>
          </w:p>
        </w:tc>
      </w:tr>
    </w:tbl>
    <w:p w:rsidR="005472BD" w:rsidRPr="00167FFA" w:rsidRDefault="004D6A10" w:rsidP="00003238">
      <w:pPr>
        <w:spacing w:beforeLines="100" w:afterLines="100" w:line="600" w:lineRule="exact"/>
        <w:ind w:firstLineChars="200" w:firstLine="640"/>
        <w:outlineLvl w:val="0"/>
        <w:rPr>
          <w:rFonts w:ascii="仿宋" w:eastAsia="仿宋" w:hAnsi="仿宋"/>
          <w:sz w:val="32"/>
          <w:szCs w:val="32"/>
        </w:rPr>
      </w:pPr>
      <w:bookmarkStart w:id="28" w:name="_Toc13329"/>
      <w:r w:rsidRPr="00167FFA">
        <w:rPr>
          <w:rFonts w:ascii="仿宋" w:eastAsia="仿宋" w:hAnsi="仿宋" w:hint="eastAsia"/>
          <w:sz w:val="32"/>
          <w:szCs w:val="32"/>
        </w:rPr>
        <w:lastRenderedPageBreak/>
        <w:t>四、绩效评价指标分析</w:t>
      </w:r>
      <w:bookmarkEnd w:id="28"/>
    </w:p>
    <w:p w:rsidR="005472BD" w:rsidRPr="00167FFA" w:rsidRDefault="004D6A10" w:rsidP="00003238">
      <w:pPr>
        <w:spacing w:beforeLines="80" w:afterLines="80" w:line="600" w:lineRule="exact"/>
        <w:ind w:firstLineChars="200" w:firstLine="643"/>
        <w:outlineLvl w:val="1"/>
        <w:rPr>
          <w:rFonts w:ascii="仿宋" w:eastAsia="仿宋" w:hAnsi="仿宋"/>
          <w:b/>
          <w:bCs/>
          <w:sz w:val="32"/>
          <w:szCs w:val="32"/>
        </w:rPr>
      </w:pPr>
      <w:bookmarkStart w:id="29" w:name="_Toc14512"/>
      <w:r w:rsidRPr="00167FFA">
        <w:rPr>
          <w:rFonts w:ascii="仿宋" w:eastAsia="仿宋" w:hAnsi="仿宋" w:hint="eastAsia"/>
          <w:b/>
          <w:bCs/>
          <w:sz w:val="32"/>
          <w:szCs w:val="32"/>
        </w:rPr>
        <w:t>（一）项目决策情况分析</w:t>
      </w:r>
      <w:bookmarkEnd w:id="29"/>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由甘肃省科学院总体统筹协调安排，各下属院所根据本所实际与发展重点申报项目，上报项目任务书，甘肃省科学院根据所提交材料的完整性、任务目标的合理性、资金投入匹配性等方面进行审查，确定立项项目，下发立项文件，并拨付项目资金，督促项目实施。各项目承担单位</w:t>
      </w:r>
      <w:r w:rsidRPr="00167FFA">
        <w:rPr>
          <w:rFonts w:ascii="仿宋" w:eastAsia="仿宋" w:hAnsi="仿宋"/>
          <w:sz w:val="32"/>
          <w:szCs w:val="32"/>
        </w:rPr>
        <w:t>严格按照甘肃省科学院的相关规定和要求，制定详细的研究计划，明确</w:t>
      </w:r>
      <w:r w:rsidRPr="00167FFA">
        <w:rPr>
          <w:rFonts w:ascii="仿宋" w:eastAsia="仿宋" w:hAnsi="仿宋" w:hint="eastAsia"/>
          <w:sz w:val="32"/>
          <w:szCs w:val="32"/>
        </w:rPr>
        <w:t>项目的</w:t>
      </w:r>
      <w:r w:rsidRPr="00167FFA">
        <w:rPr>
          <w:rFonts w:ascii="仿宋" w:eastAsia="仿宋" w:hAnsi="仿宋"/>
          <w:sz w:val="32"/>
          <w:szCs w:val="32"/>
        </w:rPr>
        <w:t>总体思路，确定研究内容，明确责任分工和研究进度，认真开展研究工作。</w:t>
      </w:r>
    </w:p>
    <w:p w:rsidR="005472BD" w:rsidRPr="00167FFA" w:rsidRDefault="004D6A10" w:rsidP="00003238">
      <w:pPr>
        <w:spacing w:beforeLines="80" w:afterLines="80" w:line="600" w:lineRule="exact"/>
        <w:ind w:firstLineChars="200" w:firstLine="643"/>
        <w:outlineLvl w:val="1"/>
        <w:rPr>
          <w:rFonts w:ascii="仿宋" w:eastAsia="仿宋" w:hAnsi="仿宋"/>
          <w:b/>
          <w:bCs/>
          <w:sz w:val="32"/>
          <w:szCs w:val="32"/>
        </w:rPr>
      </w:pPr>
      <w:bookmarkStart w:id="30" w:name="_Toc29597"/>
      <w:r w:rsidRPr="00167FFA">
        <w:rPr>
          <w:rFonts w:ascii="仿宋" w:eastAsia="仿宋" w:hAnsi="仿宋" w:hint="eastAsia"/>
          <w:b/>
          <w:bCs/>
          <w:sz w:val="32"/>
          <w:szCs w:val="32"/>
        </w:rPr>
        <w:t>（二）项目过程情况分析</w:t>
      </w:r>
      <w:bookmarkEnd w:id="30"/>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1．项目管理制度建设</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为进一步规范甘肃省科学院项目管理，完善科技项目管理机制，提高项目管理水平和实施成效，制定了《甘肃省科学院科研项目管理办法》、《甘肃省科学院院列科技计划项目验收管理办法》、《甘肃省科学院横向科技项目管理办法》、《甘肃省科学院档案管理制度》、《甘肃省科学院匹配奖励办法》、《甘肃省科学院院列科技计划项目验收管理办法》等，为项目的申报、实施、管理提供了有力的支撑。</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2．财务管理制度</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为加强项目资金的规范化、科学化管理，甘肃省科学院严格</w:t>
      </w:r>
      <w:r w:rsidRPr="00167FFA">
        <w:rPr>
          <w:rFonts w:ascii="仿宋" w:eastAsia="仿宋" w:hAnsi="仿宋" w:hint="eastAsia"/>
          <w:sz w:val="32"/>
          <w:szCs w:val="32"/>
        </w:rPr>
        <w:lastRenderedPageBreak/>
        <w:t>按照管理规定规范单位的财务管理，严格项目资金，确保专款专用，提高资金使用情况，制定了《甘肃省科学院财务管理制度》、《甘肃省科学院科技创新及能力建设专项资金管理办法》。</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3．检查监督管理制度</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在项目实施过程中，甘肃省科学院强化日常监管，院本部与下属科研所加强沟通协调，形成联动机制，不定期抽查课题组的项目实施进度和资金管理使用情况，关注资金支出动向，守好资金监管防线。</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31" w:name="_Toc7531"/>
      <w:r w:rsidRPr="00167FFA">
        <w:rPr>
          <w:rFonts w:ascii="仿宋" w:eastAsia="仿宋" w:hAnsi="仿宋" w:hint="eastAsia"/>
          <w:b/>
          <w:bCs/>
          <w:sz w:val="32"/>
          <w:szCs w:val="32"/>
        </w:rPr>
        <w:t>（三）项目产出情况分析</w:t>
      </w:r>
      <w:bookmarkEnd w:id="31"/>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1．数量指标</w:t>
      </w:r>
    </w:p>
    <w:p w:rsidR="005472BD" w:rsidRDefault="004D6A10" w:rsidP="00167FFA">
      <w:pPr>
        <w:spacing w:line="600" w:lineRule="exact"/>
        <w:ind w:firstLineChars="200" w:firstLine="640"/>
      </w:pPr>
      <w:r w:rsidRPr="00167FFA">
        <w:rPr>
          <w:rFonts w:ascii="仿宋" w:eastAsia="仿宋" w:hAnsi="仿宋" w:hint="eastAsia"/>
          <w:sz w:val="32"/>
          <w:szCs w:val="32"/>
        </w:rPr>
        <w:t>甘肃省科学院紧密围绕专项资金的支持方向，通过项目实施培养了一批科研人才，同时也增强了基础设施建设。其中，培养博士后2名，培养博士9名，培养硕士11名，培养相关技术人员100名，新增固定资产279.7715万元，引进人才（聘请专家、柔性引进人才）7名，新增各类数据库5个，项目立项实施带动的横向项目135个，开发新产品、新技术、新材料25个，新增装置（装备）468套，新增生产线、中试线6条，提供技术咨询/技术服务184次，撰写研究/咨询/调研报告22篇，举办的国内外学术交流活动12次，参加的国内外学术交流活动83人次，培训各类人员数1390名，培训合格人员数1388名，发表论文数34篇，出版著作3部，登记的成果数1项，成果转让合同数1</w:t>
      </w:r>
      <w:r w:rsidRPr="00167FFA">
        <w:rPr>
          <w:rFonts w:ascii="仿宋" w:eastAsia="仿宋" w:hAnsi="仿宋" w:hint="eastAsia"/>
          <w:sz w:val="32"/>
          <w:szCs w:val="32"/>
        </w:rPr>
        <w:lastRenderedPageBreak/>
        <w:t>项，成果转让合同总金额15万元。相应指标设定及完成情况见下表。</w:t>
      </w:r>
    </w:p>
    <w:p w:rsidR="005472BD" w:rsidRDefault="004D6A10">
      <w:pPr>
        <w:spacing w:line="600" w:lineRule="exact"/>
        <w:ind w:firstLineChars="200" w:firstLine="560"/>
        <w:jc w:val="center"/>
        <w:rPr>
          <w:sz w:val="28"/>
          <w:szCs w:val="28"/>
        </w:rPr>
      </w:pPr>
      <w:r>
        <w:rPr>
          <w:rFonts w:hint="eastAsia"/>
          <w:sz w:val="28"/>
          <w:szCs w:val="28"/>
        </w:rPr>
        <w:t>表</w:t>
      </w:r>
      <w:r>
        <w:rPr>
          <w:rFonts w:hint="eastAsia"/>
          <w:sz w:val="28"/>
          <w:szCs w:val="28"/>
        </w:rPr>
        <w:t xml:space="preserve">4-1 </w:t>
      </w:r>
      <w:r>
        <w:rPr>
          <w:rFonts w:hint="eastAsia"/>
          <w:sz w:val="28"/>
          <w:szCs w:val="28"/>
        </w:rPr>
        <w:t>数量指标完成情况对比表</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473"/>
        <w:gridCol w:w="1630"/>
        <w:gridCol w:w="1696"/>
      </w:tblGrid>
      <w:tr w:rsidR="005472BD">
        <w:trPr>
          <w:trHeight w:val="567"/>
          <w:jc w:val="center"/>
        </w:trPr>
        <w:tc>
          <w:tcPr>
            <w:tcW w:w="5473"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指标</w:t>
            </w:r>
          </w:p>
        </w:tc>
        <w:tc>
          <w:tcPr>
            <w:tcW w:w="1630"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年度指标值</w:t>
            </w:r>
          </w:p>
        </w:tc>
        <w:tc>
          <w:tcPr>
            <w:tcW w:w="1696"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实际完成值</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培养博士后（名）</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培养博士（名）</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9</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培养硕士（名）</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6</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11</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培养相关技术人员数（名）</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54</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100</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新增固定资产（万元）</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334.3715</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279.7715</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引进人才数（聘请专家、柔性引进人才）（名）</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7</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新增各类数据库（个）</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5</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项目立项实施带动的横向项目（个）</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16</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135</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开发新产品、新技术、新材料（个）</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18</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25</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新增装置（装备）（套）</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456</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468</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新增生产线、中试线（条）</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6</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提供技术咨询</w:t>
            </w:r>
            <w:r>
              <w:rPr>
                <w:rFonts w:eastAsia="宋体" w:cs="宋体" w:hint="eastAsia"/>
                <w:color w:val="000000"/>
                <w:kern w:val="0"/>
                <w:sz w:val="24"/>
              </w:rPr>
              <w:t>/</w:t>
            </w:r>
            <w:r>
              <w:rPr>
                <w:rFonts w:eastAsia="宋体" w:cs="宋体" w:hint="eastAsia"/>
                <w:color w:val="000000"/>
                <w:kern w:val="0"/>
                <w:sz w:val="24"/>
              </w:rPr>
              <w:t>技术服务次数（次数）</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33</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184</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撰写研究</w:t>
            </w:r>
            <w:r>
              <w:rPr>
                <w:rFonts w:eastAsia="宋体" w:cs="宋体" w:hint="eastAsia"/>
                <w:color w:val="000000"/>
                <w:kern w:val="0"/>
                <w:sz w:val="24"/>
              </w:rPr>
              <w:t>/</w:t>
            </w:r>
            <w:r>
              <w:rPr>
                <w:rFonts w:eastAsia="宋体" w:cs="宋体" w:hint="eastAsia"/>
                <w:color w:val="000000"/>
                <w:kern w:val="0"/>
                <w:sz w:val="24"/>
              </w:rPr>
              <w:t>咨询</w:t>
            </w:r>
            <w:r>
              <w:rPr>
                <w:rFonts w:eastAsia="宋体" w:cs="宋体" w:hint="eastAsia"/>
                <w:color w:val="000000"/>
                <w:kern w:val="0"/>
                <w:sz w:val="24"/>
              </w:rPr>
              <w:t>/</w:t>
            </w:r>
            <w:r>
              <w:rPr>
                <w:rFonts w:eastAsia="宋体" w:cs="宋体" w:hint="eastAsia"/>
                <w:color w:val="000000"/>
                <w:kern w:val="0"/>
                <w:sz w:val="24"/>
              </w:rPr>
              <w:t>调研报告（篇）</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22</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举办的国内外学术交流活动（次）</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12</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参加的国内外学术交流活动（人次）</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16</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83</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培训各类人员数（人次）</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232</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1390</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培训合格人员数（人次）</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232</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1388</w:t>
            </w:r>
          </w:p>
        </w:tc>
      </w:tr>
      <w:tr w:rsidR="005472BD">
        <w:trPr>
          <w:trHeight w:val="567"/>
          <w:jc w:val="center"/>
        </w:trPr>
        <w:tc>
          <w:tcPr>
            <w:tcW w:w="5473"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发表论文数（篇）</w:t>
            </w:r>
          </w:p>
        </w:tc>
        <w:tc>
          <w:tcPr>
            <w:tcW w:w="1630"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29</w:t>
            </w:r>
          </w:p>
        </w:tc>
        <w:tc>
          <w:tcPr>
            <w:tcW w:w="1696"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34</w:t>
            </w:r>
          </w:p>
        </w:tc>
      </w:tr>
      <w:tr w:rsidR="005472BD">
        <w:trPr>
          <w:trHeight w:val="567"/>
          <w:jc w:val="center"/>
        </w:trPr>
        <w:tc>
          <w:tcPr>
            <w:tcW w:w="5473" w:type="dxa"/>
            <w:shd w:val="clear" w:color="auto" w:fill="auto"/>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lastRenderedPageBreak/>
              <w:t>出版著作（部）</w:t>
            </w:r>
          </w:p>
        </w:tc>
        <w:tc>
          <w:tcPr>
            <w:tcW w:w="1630"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w:t>
            </w:r>
          </w:p>
        </w:tc>
        <w:tc>
          <w:tcPr>
            <w:tcW w:w="1696"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3</w:t>
            </w:r>
          </w:p>
        </w:tc>
      </w:tr>
      <w:tr w:rsidR="005472BD">
        <w:trPr>
          <w:trHeight w:val="567"/>
          <w:jc w:val="center"/>
        </w:trPr>
        <w:tc>
          <w:tcPr>
            <w:tcW w:w="5473" w:type="dxa"/>
            <w:shd w:val="clear" w:color="auto" w:fill="auto"/>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登记的成果数（项）</w:t>
            </w:r>
          </w:p>
        </w:tc>
        <w:tc>
          <w:tcPr>
            <w:tcW w:w="1630"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0</w:t>
            </w:r>
          </w:p>
        </w:tc>
        <w:tc>
          <w:tcPr>
            <w:tcW w:w="1696"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w:t>
            </w:r>
          </w:p>
        </w:tc>
      </w:tr>
      <w:tr w:rsidR="005472BD">
        <w:trPr>
          <w:trHeight w:val="567"/>
          <w:jc w:val="center"/>
        </w:trPr>
        <w:tc>
          <w:tcPr>
            <w:tcW w:w="5473" w:type="dxa"/>
            <w:shd w:val="clear" w:color="auto" w:fill="auto"/>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成果转让合同数（项）</w:t>
            </w:r>
          </w:p>
        </w:tc>
        <w:tc>
          <w:tcPr>
            <w:tcW w:w="1630"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0</w:t>
            </w:r>
          </w:p>
        </w:tc>
        <w:tc>
          <w:tcPr>
            <w:tcW w:w="1696"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w:t>
            </w:r>
          </w:p>
        </w:tc>
      </w:tr>
      <w:tr w:rsidR="005472BD">
        <w:trPr>
          <w:trHeight w:val="567"/>
          <w:jc w:val="center"/>
        </w:trPr>
        <w:tc>
          <w:tcPr>
            <w:tcW w:w="5473" w:type="dxa"/>
            <w:shd w:val="clear" w:color="auto" w:fill="auto"/>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成果转让合同总金额（万元）</w:t>
            </w:r>
          </w:p>
        </w:tc>
        <w:tc>
          <w:tcPr>
            <w:tcW w:w="1630"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0</w:t>
            </w:r>
          </w:p>
        </w:tc>
        <w:tc>
          <w:tcPr>
            <w:tcW w:w="1696" w:type="dxa"/>
            <w:shd w:val="clear" w:color="auto" w:fill="auto"/>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15</w:t>
            </w:r>
          </w:p>
        </w:tc>
      </w:tr>
    </w:tbl>
    <w:p w:rsidR="005472BD" w:rsidRPr="00167FFA" w:rsidRDefault="004D6A10" w:rsidP="00167FFA">
      <w:pPr>
        <w:spacing w:line="600" w:lineRule="exact"/>
        <w:ind w:firstLineChars="200" w:firstLine="643"/>
        <w:rPr>
          <w:rFonts w:ascii="仿宋" w:eastAsia="仿宋" w:hAnsi="仿宋" w:cs="华文楷体"/>
          <w:b/>
          <w:bCs/>
          <w:sz w:val="32"/>
          <w:szCs w:val="32"/>
        </w:rPr>
      </w:pPr>
      <w:r w:rsidRPr="00167FFA">
        <w:rPr>
          <w:rFonts w:ascii="仿宋" w:eastAsia="仿宋" w:hAnsi="仿宋" w:hint="eastAsia"/>
          <w:b/>
          <w:bCs/>
          <w:sz w:val="32"/>
          <w:szCs w:val="32"/>
        </w:rPr>
        <w:t>传感技术研究所承担的“线性巨磁阻MEMS传感器的关键技术研究及器件研发”</w:t>
      </w:r>
      <w:r w:rsidRPr="00167FFA">
        <w:rPr>
          <w:rFonts w:ascii="仿宋" w:eastAsia="仿宋" w:hAnsi="仿宋" w:hint="eastAsia"/>
          <w:sz w:val="32"/>
          <w:szCs w:val="32"/>
        </w:rPr>
        <w:t>项目完成了磁开关传感器芯片、磁传感器所有的工艺过程和封装，经过测试，芯片的磁性能达到预期要求；购置了新设备零磁屏蔽磁场发生系统1台；申请美国发明专利1件；申请中国发明专利4件；发表学术论文2篇；制定了3项企业标准。通过解决三款传感器研发的技术问题，为后期磁开关、电流传感器、磁场传感器的应用奠定基础，对于提升传感所的科技创新能力具有重要的意义。</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2．质量指标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项目整体质量完成良好，提升了科研院所及服务机构的科技创新能力和水平。人才培训合格率99.9%，专利申请数44项，专利授权数26项，制定技术标准13项，取得软件著作权11项，固定资产完成率98.95%，横向项目完成率95.54%，成果转化完成率91.43%。</w:t>
      </w:r>
    </w:p>
    <w:p w:rsidR="005472BD" w:rsidRDefault="004D6A10">
      <w:pPr>
        <w:spacing w:line="600" w:lineRule="exact"/>
        <w:ind w:firstLineChars="200" w:firstLine="560"/>
        <w:jc w:val="center"/>
        <w:rPr>
          <w:sz w:val="28"/>
          <w:szCs w:val="28"/>
        </w:rPr>
      </w:pPr>
      <w:r>
        <w:rPr>
          <w:rFonts w:hint="eastAsia"/>
          <w:sz w:val="28"/>
          <w:szCs w:val="28"/>
        </w:rPr>
        <w:t>表</w:t>
      </w:r>
      <w:r>
        <w:rPr>
          <w:rFonts w:hint="eastAsia"/>
          <w:sz w:val="28"/>
          <w:szCs w:val="28"/>
        </w:rPr>
        <w:t>4-2</w:t>
      </w:r>
      <w:r>
        <w:rPr>
          <w:rFonts w:hint="eastAsia"/>
          <w:sz w:val="28"/>
          <w:szCs w:val="28"/>
        </w:rPr>
        <w:t>质量指标完成情况对比表</w:t>
      </w:r>
    </w:p>
    <w:tbl>
      <w:tblPr>
        <w:tblW w:w="87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86"/>
        <w:gridCol w:w="2263"/>
        <w:gridCol w:w="2251"/>
      </w:tblGrid>
      <w:tr w:rsidR="005472BD">
        <w:trPr>
          <w:trHeight w:val="567"/>
        </w:trPr>
        <w:tc>
          <w:tcPr>
            <w:tcW w:w="4186"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指标</w:t>
            </w:r>
          </w:p>
        </w:tc>
        <w:tc>
          <w:tcPr>
            <w:tcW w:w="2263"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年度指标值</w:t>
            </w:r>
          </w:p>
        </w:tc>
        <w:tc>
          <w:tcPr>
            <w:tcW w:w="2251"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实际完成值</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人才培训合格率（</w:t>
            </w:r>
            <w:r>
              <w:rPr>
                <w:rFonts w:eastAsia="宋体" w:cs="宋体" w:hint="eastAsia"/>
                <w:color w:val="000000"/>
                <w:kern w:val="0"/>
                <w:sz w:val="24"/>
              </w:rPr>
              <w:t>%</w:t>
            </w:r>
            <w:r>
              <w:rPr>
                <w:rFonts w:eastAsia="宋体" w:cs="宋体" w:hint="eastAsia"/>
                <w:color w:val="000000"/>
                <w:kern w:val="0"/>
                <w:sz w:val="24"/>
              </w:rPr>
              <w:t>）</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sz w:val="24"/>
              </w:rPr>
              <w:t>90</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sz w:val="24"/>
              </w:rPr>
              <w:t>99.9</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专利申请数（项）</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16</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44</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lastRenderedPageBreak/>
              <w:t>专利授权数（项）</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18</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26</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制定技术标准（项）</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13</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取得软件著作权（项）</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11</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固定资产完成率（</w:t>
            </w:r>
            <w:r>
              <w:rPr>
                <w:rFonts w:eastAsia="宋体" w:cs="宋体" w:hint="eastAsia"/>
                <w:color w:val="000000"/>
                <w:kern w:val="0"/>
                <w:sz w:val="24"/>
              </w:rPr>
              <w:t>%</w:t>
            </w:r>
            <w:r>
              <w:rPr>
                <w:rFonts w:eastAsia="宋体" w:cs="宋体" w:hint="eastAsia"/>
                <w:color w:val="000000"/>
                <w:kern w:val="0"/>
                <w:sz w:val="24"/>
              </w:rPr>
              <w:t>）</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93.81</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98.95</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横向项目完成率（</w:t>
            </w:r>
            <w:r>
              <w:rPr>
                <w:rFonts w:eastAsia="宋体" w:cs="宋体" w:hint="eastAsia"/>
                <w:color w:val="000000"/>
                <w:kern w:val="0"/>
                <w:sz w:val="24"/>
              </w:rPr>
              <w:t>%</w:t>
            </w:r>
            <w:r>
              <w:rPr>
                <w:rFonts w:eastAsia="宋体" w:cs="宋体" w:hint="eastAsia"/>
                <w:color w:val="000000"/>
                <w:kern w:val="0"/>
                <w:sz w:val="24"/>
              </w:rPr>
              <w:t>）</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95.45</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95.54</w:t>
            </w:r>
          </w:p>
        </w:tc>
      </w:tr>
      <w:tr w:rsidR="005472BD">
        <w:trPr>
          <w:trHeight w:val="567"/>
        </w:trPr>
        <w:tc>
          <w:tcPr>
            <w:tcW w:w="4186"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成果转化完成率（</w:t>
            </w:r>
            <w:r>
              <w:rPr>
                <w:rFonts w:eastAsia="宋体" w:cs="宋体" w:hint="eastAsia"/>
                <w:color w:val="000000"/>
                <w:kern w:val="0"/>
                <w:sz w:val="24"/>
              </w:rPr>
              <w:t>%</w:t>
            </w:r>
            <w:r>
              <w:rPr>
                <w:rFonts w:eastAsia="宋体" w:cs="宋体" w:hint="eastAsia"/>
                <w:color w:val="000000"/>
                <w:kern w:val="0"/>
                <w:sz w:val="24"/>
              </w:rPr>
              <w:t>）</w:t>
            </w:r>
          </w:p>
        </w:tc>
        <w:tc>
          <w:tcPr>
            <w:tcW w:w="226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91.67</w:t>
            </w:r>
          </w:p>
        </w:tc>
        <w:tc>
          <w:tcPr>
            <w:tcW w:w="2251"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91.43</w:t>
            </w:r>
          </w:p>
        </w:tc>
      </w:tr>
    </w:tbl>
    <w:p w:rsidR="005472BD" w:rsidRPr="00167FFA" w:rsidRDefault="004D6A10" w:rsidP="00003238">
      <w:pPr>
        <w:spacing w:beforeLines="80" w:afterLines="80"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磁性器件研究所承担的“乏燃料后处理混合澄清槽长轴搅拌器研制”</w:t>
      </w:r>
      <w:r w:rsidRPr="00167FFA">
        <w:rPr>
          <w:rFonts w:ascii="仿宋" w:eastAsia="仿宋" w:hAnsi="仿宋" w:hint="eastAsia"/>
          <w:sz w:val="32"/>
          <w:szCs w:val="32"/>
        </w:rPr>
        <w:t>项目自2019年9月份完成长轴搅拌器的结构设计第一版图纸起至2019年11月份形成最终设计图纸，累计耗时5个月，期间以会议形式审图6次，其中邀请清华大学核研院教授2人参与指导把脉2次。吸纳和培养技术人员1人；形成长轴搅拌器的结构设计图纸1套；形成磁力联轴器设计图纸1套；完成磁力联轴器磁场仿真计算报告1份。</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32" w:name="_Toc12655"/>
      <w:r w:rsidRPr="00167FFA">
        <w:rPr>
          <w:rFonts w:ascii="仿宋" w:eastAsia="仿宋" w:hAnsi="仿宋" w:hint="eastAsia"/>
          <w:b/>
          <w:bCs/>
          <w:sz w:val="32"/>
          <w:szCs w:val="32"/>
        </w:rPr>
        <w:t>（四）项目效益情况分析</w:t>
      </w:r>
      <w:bookmarkEnd w:id="32"/>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1．经济效益指标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项目经济效益指标超额完成，提升科研人员的研究能力的同时也为所院带来了经济效益。其中，新产品产值569.12万元，科研仪器设备对外服务率100%，新增就业数26名。</w:t>
      </w:r>
    </w:p>
    <w:p w:rsidR="005472BD" w:rsidRDefault="004D6A10">
      <w:pPr>
        <w:spacing w:line="600" w:lineRule="exact"/>
        <w:ind w:firstLineChars="200" w:firstLine="560"/>
        <w:jc w:val="center"/>
        <w:rPr>
          <w:sz w:val="28"/>
          <w:szCs w:val="28"/>
        </w:rPr>
      </w:pPr>
      <w:r>
        <w:rPr>
          <w:rFonts w:hint="eastAsia"/>
          <w:sz w:val="28"/>
          <w:szCs w:val="28"/>
        </w:rPr>
        <w:t>表</w:t>
      </w:r>
      <w:r>
        <w:rPr>
          <w:rFonts w:hint="eastAsia"/>
          <w:sz w:val="28"/>
          <w:szCs w:val="28"/>
        </w:rPr>
        <w:t xml:space="preserve">4-3 </w:t>
      </w:r>
      <w:r>
        <w:rPr>
          <w:rFonts w:hint="eastAsia"/>
          <w:sz w:val="28"/>
          <w:szCs w:val="28"/>
        </w:rPr>
        <w:t>经济效益指标完成情况对比表</w:t>
      </w:r>
    </w:p>
    <w:tbl>
      <w:tblPr>
        <w:tblW w:w="8698"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174"/>
        <w:gridCol w:w="1762"/>
        <w:gridCol w:w="1762"/>
      </w:tblGrid>
      <w:tr w:rsidR="005472BD">
        <w:trPr>
          <w:trHeight w:val="512"/>
        </w:trPr>
        <w:tc>
          <w:tcPr>
            <w:tcW w:w="5174"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指标</w:t>
            </w:r>
          </w:p>
        </w:tc>
        <w:tc>
          <w:tcPr>
            <w:tcW w:w="1762"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年度指标值</w:t>
            </w:r>
          </w:p>
        </w:tc>
        <w:tc>
          <w:tcPr>
            <w:tcW w:w="1762"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实际完成值</w:t>
            </w:r>
          </w:p>
        </w:tc>
      </w:tr>
      <w:tr w:rsidR="005472BD">
        <w:trPr>
          <w:trHeight w:val="512"/>
        </w:trPr>
        <w:tc>
          <w:tcPr>
            <w:tcW w:w="5174"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新产品产值（万元）</w:t>
            </w:r>
          </w:p>
        </w:tc>
        <w:tc>
          <w:tcPr>
            <w:tcW w:w="1762"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400.12</w:t>
            </w:r>
          </w:p>
        </w:tc>
        <w:tc>
          <w:tcPr>
            <w:tcW w:w="1762"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569.12</w:t>
            </w:r>
          </w:p>
        </w:tc>
      </w:tr>
      <w:tr w:rsidR="005472BD">
        <w:trPr>
          <w:trHeight w:val="512"/>
        </w:trPr>
        <w:tc>
          <w:tcPr>
            <w:tcW w:w="5174"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lastRenderedPageBreak/>
              <w:t>科研仪器设备对外服务率（</w:t>
            </w:r>
            <w:r>
              <w:rPr>
                <w:rFonts w:eastAsia="宋体" w:cs="宋体" w:hint="eastAsia"/>
                <w:color w:val="000000"/>
                <w:kern w:val="0"/>
                <w:sz w:val="24"/>
              </w:rPr>
              <w:t>%</w:t>
            </w:r>
            <w:r>
              <w:rPr>
                <w:rFonts w:eastAsia="宋体" w:cs="宋体" w:hint="eastAsia"/>
                <w:color w:val="000000"/>
                <w:kern w:val="0"/>
                <w:sz w:val="24"/>
              </w:rPr>
              <w:t>）</w:t>
            </w:r>
          </w:p>
        </w:tc>
        <w:tc>
          <w:tcPr>
            <w:tcW w:w="1762"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91.67</w:t>
            </w:r>
          </w:p>
        </w:tc>
        <w:tc>
          <w:tcPr>
            <w:tcW w:w="1762"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kern w:val="0"/>
                <w:sz w:val="24"/>
              </w:rPr>
            </w:pPr>
            <w:r>
              <w:rPr>
                <w:rFonts w:eastAsia="宋体" w:cs="宋体" w:hint="eastAsia"/>
                <w:color w:val="000000"/>
                <w:kern w:val="0"/>
                <w:sz w:val="24"/>
              </w:rPr>
              <w:t>100</w:t>
            </w:r>
          </w:p>
        </w:tc>
      </w:tr>
      <w:tr w:rsidR="005472BD">
        <w:trPr>
          <w:trHeight w:val="522"/>
        </w:trPr>
        <w:tc>
          <w:tcPr>
            <w:tcW w:w="5174"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新增就业数（人）</w:t>
            </w:r>
          </w:p>
        </w:tc>
        <w:tc>
          <w:tcPr>
            <w:tcW w:w="1762"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12</w:t>
            </w:r>
          </w:p>
        </w:tc>
        <w:tc>
          <w:tcPr>
            <w:tcW w:w="1762"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26</w:t>
            </w:r>
          </w:p>
        </w:tc>
      </w:tr>
    </w:tbl>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地质自然灾害防治研究所承担的“地质灾害防治与生态地质环境修复创新团队”</w:t>
      </w:r>
      <w:r w:rsidRPr="00167FFA">
        <w:rPr>
          <w:rFonts w:ascii="仿宋" w:eastAsia="仿宋" w:hAnsi="仿宋" w:hint="eastAsia"/>
          <w:sz w:val="32"/>
          <w:szCs w:val="32"/>
        </w:rPr>
        <w:t>项目2019-2020团队成员完成的已到账横向课题31项，到账经费达534.85万元，为本单位创收58.83万元，新增税收34.23万元。通过科技成果服务支撑重大建设项目总投资达2451.7亿元，保护了15790人、46.04亿元财产安全，修复生态环境面积2530.24公顷。</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2．社会效益指标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项目社会效益指标完成较好，通过专项资金支持，进一步提升单位对外形象，保证了科研事业的可持续发展。建设特色产业生产示范（孵化）基地11个，服务企业数53家，灾害风险识别率95%。</w:t>
      </w:r>
    </w:p>
    <w:p w:rsidR="005472BD" w:rsidRDefault="004D6A10">
      <w:pPr>
        <w:spacing w:line="600" w:lineRule="exact"/>
        <w:ind w:firstLineChars="200" w:firstLine="560"/>
        <w:jc w:val="center"/>
        <w:rPr>
          <w:sz w:val="28"/>
          <w:szCs w:val="28"/>
        </w:rPr>
      </w:pPr>
      <w:r>
        <w:rPr>
          <w:sz w:val="28"/>
          <w:szCs w:val="28"/>
        </w:rPr>
        <w:t>表</w:t>
      </w:r>
      <w:r>
        <w:rPr>
          <w:sz w:val="28"/>
          <w:szCs w:val="28"/>
        </w:rPr>
        <w:t>4-</w:t>
      </w:r>
      <w:r>
        <w:rPr>
          <w:rFonts w:hint="eastAsia"/>
          <w:sz w:val="28"/>
          <w:szCs w:val="28"/>
        </w:rPr>
        <w:t>4</w:t>
      </w:r>
      <w:r>
        <w:rPr>
          <w:sz w:val="28"/>
          <w:szCs w:val="28"/>
        </w:rPr>
        <w:t xml:space="preserve"> </w:t>
      </w:r>
      <w:r>
        <w:rPr>
          <w:sz w:val="28"/>
          <w:szCs w:val="28"/>
        </w:rPr>
        <w:t>社会效益指标完成情况对比表</w:t>
      </w:r>
    </w:p>
    <w:tbl>
      <w:tblPr>
        <w:tblW w:w="870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150"/>
        <w:gridCol w:w="1783"/>
        <w:gridCol w:w="1767"/>
      </w:tblGrid>
      <w:tr w:rsidR="005472BD">
        <w:trPr>
          <w:trHeight w:val="567"/>
        </w:trPr>
        <w:tc>
          <w:tcPr>
            <w:tcW w:w="5150"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指标</w:t>
            </w:r>
          </w:p>
        </w:tc>
        <w:tc>
          <w:tcPr>
            <w:tcW w:w="1783"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年度指标值</w:t>
            </w:r>
          </w:p>
        </w:tc>
        <w:tc>
          <w:tcPr>
            <w:tcW w:w="1767" w:type="dxa"/>
            <w:shd w:val="clear" w:color="auto" w:fill="4F81BD"/>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b/>
                <w:bCs/>
                <w:color w:val="FFFFFF"/>
                <w:sz w:val="24"/>
              </w:rPr>
            </w:pPr>
            <w:r>
              <w:rPr>
                <w:rFonts w:eastAsia="宋体" w:cs="宋体" w:hint="eastAsia"/>
                <w:b/>
                <w:bCs/>
                <w:color w:val="FFFFFF"/>
                <w:kern w:val="0"/>
                <w:sz w:val="24"/>
              </w:rPr>
              <w:t>实际完成值</w:t>
            </w:r>
          </w:p>
        </w:tc>
      </w:tr>
      <w:tr w:rsidR="005472BD">
        <w:trPr>
          <w:trHeight w:val="567"/>
        </w:trPr>
        <w:tc>
          <w:tcPr>
            <w:tcW w:w="5150"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建设特色产业生产示范（孵化）基地（个）</w:t>
            </w:r>
          </w:p>
        </w:tc>
        <w:tc>
          <w:tcPr>
            <w:tcW w:w="178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6</w:t>
            </w:r>
          </w:p>
        </w:tc>
        <w:tc>
          <w:tcPr>
            <w:tcW w:w="1767"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11</w:t>
            </w:r>
          </w:p>
        </w:tc>
      </w:tr>
      <w:tr w:rsidR="005472BD">
        <w:trPr>
          <w:trHeight w:val="567"/>
        </w:trPr>
        <w:tc>
          <w:tcPr>
            <w:tcW w:w="5150"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服务企业数（家）</w:t>
            </w:r>
          </w:p>
        </w:tc>
        <w:tc>
          <w:tcPr>
            <w:tcW w:w="178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16</w:t>
            </w:r>
          </w:p>
        </w:tc>
        <w:tc>
          <w:tcPr>
            <w:tcW w:w="1767"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53</w:t>
            </w:r>
          </w:p>
        </w:tc>
      </w:tr>
      <w:tr w:rsidR="005472BD">
        <w:trPr>
          <w:trHeight w:val="567"/>
        </w:trPr>
        <w:tc>
          <w:tcPr>
            <w:tcW w:w="5150" w:type="dxa"/>
            <w:shd w:val="clear" w:color="auto" w:fill="FFFFFF"/>
            <w:noWrap/>
            <w:tcMar>
              <w:top w:w="15" w:type="dxa"/>
              <w:left w:w="15" w:type="dxa"/>
              <w:right w:w="15" w:type="dxa"/>
            </w:tcMar>
            <w:vAlign w:val="center"/>
          </w:tcPr>
          <w:p w:rsidR="005472BD" w:rsidRDefault="004D6A10">
            <w:pPr>
              <w:widowControl/>
              <w:spacing w:line="400" w:lineRule="exact"/>
              <w:ind w:firstLineChars="100" w:firstLine="240"/>
              <w:jc w:val="left"/>
              <w:textAlignment w:val="center"/>
              <w:rPr>
                <w:rFonts w:eastAsia="宋体" w:cs="宋体"/>
                <w:color w:val="000000"/>
                <w:sz w:val="24"/>
              </w:rPr>
            </w:pPr>
            <w:r>
              <w:rPr>
                <w:rFonts w:eastAsia="宋体" w:cs="宋体" w:hint="eastAsia"/>
                <w:color w:val="000000"/>
                <w:kern w:val="0"/>
                <w:sz w:val="24"/>
              </w:rPr>
              <w:t>灾害风险识别率（</w:t>
            </w:r>
            <w:r>
              <w:rPr>
                <w:rFonts w:eastAsia="宋体" w:cs="宋体" w:hint="eastAsia"/>
                <w:color w:val="000000"/>
                <w:kern w:val="0"/>
                <w:sz w:val="24"/>
              </w:rPr>
              <w:t>%</w:t>
            </w:r>
            <w:r>
              <w:rPr>
                <w:rFonts w:eastAsia="宋体" w:cs="宋体" w:hint="eastAsia"/>
                <w:color w:val="000000"/>
                <w:kern w:val="0"/>
                <w:sz w:val="24"/>
              </w:rPr>
              <w:t>）</w:t>
            </w:r>
          </w:p>
        </w:tc>
        <w:tc>
          <w:tcPr>
            <w:tcW w:w="1783"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97.5</w:t>
            </w:r>
          </w:p>
        </w:tc>
        <w:tc>
          <w:tcPr>
            <w:tcW w:w="1767" w:type="dxa"/>
            <w:shd w:val="clear" w:color="auto" w:fill="FFFFFF"/>
            <w:noWrap/>
            <w:tcMar>
              <w:top w:w="15" w:type="dxa"/>
              <w:left w:w="15" w:type="dxa"/>
              <w:right w:w="15" w:type="dxa"/>
            </w:tcMar>
            <w:vAlign w:val="center"/>
          </w:tcPr>
          <w:p w:rsidR="005472BD" w:rsidRDefault="004D6A10">
            <w:pPr>
              <w:widowControl/>
              <w:spacing w:line="400" w:lineRule="exact"/>
              <w:jc w:val="center"/>
              <w:textAlignment w:val="center"/>
              <w:rPr>
                <w:rFonts w:eastAsia="宋体" w:cs="宋体"/>
                <w:color w:val="000000"/>
                <w:sz w:val="24"/>
              </w:rPr>
            </w:pPr>
            <w:r>
              <w:rPr>
                <w:rFonts w:eastAsia="宋体" w:cs="宋体" w:hint="eastAsia"/>
                <w:color w:val="000000"/>
                <w:kern w:val="0"/>
                <w:sz w:val="24"/>
              </w:rPr>
              <w:t>95</w:t>
            </w:r>
          </w:p>
        </w:tc>
      </w:tr>
    </w:tbl>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生物研究所承担的“奶牛养殖废弃物生物处理与利用关键技术及装备研发”</w:t>
      </w:r>
      <w:r w:rsidRPr="00167FFA">
        <w:rPr>
          <w:rFonts w:ascii="仿宋" w:eastAsia="仿宋" w:hAnsi="仿宋" w:hint="eastAsia"/>
          <w:sz w:val="32"/>
          <w:szCs w:val="32"/>
        </w:rPr>
        <w:t>项目培养博士后1名，硕士1名，引进人才1名。建立了院地合作实验，新增仪器、设备数台，包括双联机械搅拌式发酵罐、喷雾干燥机、均质机、培养箱、人工气候箱、烘</w:t>
      </w:r>
      <w:r w:rsidRPr="00167FFA">
        <w:rPr>
          <w:rFonts w:ascii="仿宋" w:eastAsia="仿宋" w:hAnsi="仿宋" w:hint="eastAsia"/>
          <w:sz w:val="32"/>
          <w:szCs w:val="32"/>
        </w:rPr>
        <w:lastRenderedPageBreak/>
        <w:t>箱、BOD测定仪、水质测定仪、溶氧仪、pH计、水浴锅等；建成适合河西地区规模化固体粪肥生物发酵设备1套，形成养殖粪水分离液资源化生物处理设备1套；针对企业开展相关培训5次，累计培训企业技术人员50余人；提交专利申请4项。</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3．生态效益指标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通过项目实施，对生态环境保护及绿色产业发展起到了至关重要的作用。总体来讲，项目实施对绿色生态产业的支撑和引领作用显著。</w:t>
      </w:r>
    </w:p>
    <w:p w:rsidR="005472BD" w:rsidRDefault="004D6A10">
      <w:pPr>
        <w:spacing w:line="600" w:lineRule="exact"/>
        <w:ind w:firstLineChars="200" w:firstLine="560"/>
        <w:jc w:val="center"/>
      </w:pPr>
      <w:r>
        <w:rPr>
          <w:sz w:val="28"/>
          <w:szCs w:val="28"/>
        </w:rPr>
        <w:t>表</w:t>
      </w:r>
      <w:r>
        <w:rPr>
          <w:sz w:val="28"/>
          <w:szCs w:val="28"/>
        </w:rPr>
        <w:t>4-</w:t>
      </w:r>
      <w:r>
        <w:rPr>
          <w:rFonts w:hint="eastAsia"/>
          <w:sz w:val="28"/>
          <w:szCs w:val="28"/>
        </w:rPr>
        <w:t>5</w:t>
      </w:r>
      <w:r>
        <w:rPr>
          <w:sz w:val="28"/>
          <w:szCs w:val="28"/>
        </w:rPr>
        <w:t xml:space="preserve"> </w:t>
      </w:r>
      <w:r>
        <w:rPr>
          <w:sz w:val="28"/>
          <w:szCs w:val="28"/>
        </w:rPr>
        <w:t>生态效益指标完成情况对比表</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318"/>
        <w:gridCol w:w="1816"/>
        <w:gridCol w:w="1805"/>
      </w:tblGrid>
      <w:tr w:rsidR="005472BD">
        <w:trPr>
          <w:trHeight w:val="773"/>
        </w:trPr>
        <w:tc>
          <w:tcPr>
            <w:tcW w:w="5318" w:type="dxa"/>
            <w:shd w:val="clear" w:color="auto" w:fill="4F81BD"/>
            <w:tcMar>
              <w:top w:w="15" w:type="dxa"/>
              <w:left w:w="15" w:type="dxa"/>
              <w:right w:w="15" w:type="dxa"/>
            </w:tcMar>
            <w:vAlign w:val="center"/>
          </w:tcPr>
          <w:p w:rsidR="005472BD" w:rsidRDefault="004D6A10">
            <w:pPr>
              <w:widowControl/>
              <w:spacing w:line="600" w:lineRule="exact"/>
              <w:jc w:val="center"/>
              <w:textAlignment w:val="center"/>
              <w:rPr>
                <w:rFonts w:eastAsia="宋体" w:cs="宋体"/>
                <w:b/>
                <w:bCs/>
                <w:color w:val="FFFFFF"/>
                <w:sz w:val="24"/>
              </w:rPr>
            </w:pPr>
            <w:r>
              <w:rPr>
                <w:rFonts w:eastAsia="宋体" w:cs="宋体" w:hint="eastAsia"/>
                <w:b/>
                <w:bCs/>
                <w:color w:val="FFFFFF"/>
                <w:kern w:val="0"/>
                <w:sz w:val="24"/>
              </w:rPr>
              <w:t>指标</w:t>
            </w:r>
          </w:p>
        </w:tc>
        <w:tc>
          <w:tcPr>
            <w:tcW w:w="1816" w:type="dxa"/>
            <w:shd w:val="clear" w:color="auto" w:fill="4F81BD"/>
            <w:tcMar>
              <w:top w:w="15" w:type="dxa"/>
              <w:left w:w="15" w:type="dxa"/>
              <w:right w:w="15" w:type="dxa"/>
            </w:tcMar>
            <w:vAlign w:val="center"/>
          </w:tcPr>
          <w:p w:rsidR="005472BD" w:rsidRDefault="004D6A10">
            <w:pPr>
              <w:widowControl/>
              <w:spacing w:line="600" w:lineRule="exact"/>
              <w:jc w:val="center"/>
              <w:textAlignment w:val="center"/>
              <w:rPr>
                <w:rFonts w:eastAsia="宋体" w:cs="宋体"/>
                <w:b/>
                <w:bCs/>
                <w:color w:val="FFFFFF"/>
                <w:sz w:val="24"/>
              </w:rPr>
            </w:pPr>
            <w:r>
              <w:rPr>
                <w:rFonts w:eastAsia="宋体" w:cs="宋体" w:hint="eastAsia"/>
                <w:b/>
                <w:bCs/>
                <w:color w:val="FFFFFF"/>
                <w:kern w:val="0"/>
                <w:sz w:val="24"/>
              </w:rPr>
              <w:t>年度指标值</w:t>
            </w:r>
          </w:p>
        </w:tc>
        <w:tc>
          <w:tcPr>
            <w:tcW w:w="1805" w:type="dxa"/>
            <w:shd w:val="clear" w:color="auto" w:fill="4F81BD"/>
            <w:tcMar>
              <w:top w:w="15" w:type="dxa"/>
              <w:left w:w="15" w:type="dxa"/>
              <w:right w:w="15" w:type="dxa"/>
            </w:tcMar>
            <w:vAlign w:val="center"/>
          </w:tcPr>
          <w:p w:rsidR="005472BD" w:rsidRDefault="004D6A10">
            <w:pPr>
              <w:widowControl/>
              <w:spacing w:line="600" w:lineRule="exact"/>
              <w:jc w:val="center"/>
              <w:textAlignment w:val="center"/>
              <w:rPr>
                <w:rFonts w:eastAsia="宋体" w:cs="宋体"/>
                <w:b/>
                <w:bCs/>
                <w:color w:val="FFFFFF"/>
                <w:sz w:val="24"/>
              </w:rPr>
            </w:pPr>
            <w:r>
              <w:rPr>
                <w:rFonts w:eastAsia="宋体" w:cs="宋体" w:hint="eastAsia"/>
                <w:b/>
                <w:bCs/>
                <w:color w:val="FFFFFF"/>
                <w:kern w:val="0"/>
                <w:sz w:val="24"/>
              </w:rPr>
              <w:t>实际完成值</w:t>
            </w:r>
          </w:p>
        </w:tc>
      </w:tr>
      <w:tr w:rsidR="005472BD">
        <w:trPr>
          <w:trHeight w:val="795"/>
        </w:trPr>
        <w:tc>
          <w:tcPr>
            <w:tcW w:w="5318" w:type="dxa"/>
            <w:shd w:val="clear" w:color="auto" w:fill="FFFFFF"/>
            <w:tcMar>
              <w:top w:w="15" w:type="dxa"/>
              <w:left w:w="15" w:type="dxa"/>
              <w:right w:w="15" w:type="dxa"/>
            </w:tcMar>
            <w:vAlign w:val="center"/>
          </w:tcPr>
          <w:p w:rsidR="005472BD" w:rsidRDefault="004D6A10">
            <w:pPr>
              <w:widowControl/>
              <w:ind w:firstLineChars="100" w:firstLine="240"/>
              <w:textAlignment w:val="center"/>
              <w:rPr>
                <w:rFonts w:eastAsia="等线" w:cs="等线"/>
                <w:color w:val="000000"/>
                <w:sz w:val="24"/>
              </w:rPr>
            </w:pPr>
            <w:r>
              <w:rPr>
                <w:rFonts w:eastAsia="宋体" w:cs="宋体" w:hint="eastAsia"/>
                <w:color w:val="000000"/>
                <w:kern w:val="0"/>
                <w:sz w:val="24"/>
              </w:rPr>
              <w:t>项目实施对绿色生态产业的支撑和引领作用</w:t>
            </w:r>
          </w:p>
        </w:tc>
        <w:tc>
          <w:tcPr>
            <w:tcW w:w="1816" w:type="dxa"/>
            <w:shd w:val="clear" w:color="auto" w:fill="FFFFFF"/>
            <w:tcMar>
              <w:top w:w="15" w:type="dxa"/>
              <w:left w:w="15" w:type="dxa"/>
              <w:right w:w="15" w:type="dxa"/>
            </w:tcMar>
            <w:vAlign w:val="center"/>
          </w:tcPr>
          <w:p w:rsidR="005472BD" w:rsidRDefault="004D6A10">
            <w:pPr>
              <w:widowControl/>
              <w:spacing w:line="600" w:lineRule="exact"/>
              <w:jc w:val="center"/>
              <w:textAlignment w:val="center"/>
              <w:rPr>
                <w:rFonts w:eastAsia="宋体" w:cs="宋体"/>
                <w:color w:val="000000"/>
                <w:kern w:val="0"/>
                <w:sz w:val="24"/>
              </w:rPr>
            </w:pPr>
            <w:r>
              <w:rPr>
                <w:rFonts w:eastAsia="宋体" w:cs="宋体" w:hint="eastAsia"/>
                <w:color w:val="000000"/>
                <w:kern w:val="0"/>
                <w:sz w:val="24"/>
              </w:rPr>
              <w:t>显著</w:t>
            </w:r>
          </w:p>
        </w:tc>
        <w:tc>
          <w:tcPr>
            <w:tcW w:w="1805" w:type="dxa"/>
            <w:shd w:val="clear" w:color="auto" w:fill="FFFFFF"/>
            <w:tcMar>
              <w:top w:w="15" w:type="dxa"/>
              <w:left w:w="15" w:type="dxa"/>
              <w:right w:w="15" w:type="dxa"/>
            </w:tcMar>
            <w:vAlign w:val="center"/>
          </w:tcPr>
          <w:p w:rsidR="005472BD" w:rsidRDefault="004D6A10">
            <w:pPr>
              <w:widowControl/>
              <w:spacing w:line="600" w:lineRule="exact"/>
              <w:jc w:val="center"/>
              <w:textAlignment w:val="center"/>
              <w:rPr>
                <w:rFonts w:eastAsia="宋体" w:cs="宋体"/>
                <w:color w:val="000000"/>
                <w:kern w:val="0"/>
                <w:sz w:val="24"/>
              </w:rPr>
            </w:pPr>
            <w:r>
              <w:rPr>
                <w:rFonts w:eastAsia="宋体" w:cs="宋体" w:hint="eastAsia"/>
                <w:color w:val="000000"/>
                <w:kern w:val="0"/>
                <w:sz w:val="24"/>
              </w:rPr>
              <w:t>显著</w:t>
            </w:r>
          </w:p>
        </w:tc>
      </w:tr>
    </w:tbl>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后勤服务中心承担的“南山绿化上水管网改造”</w:t>
      </w:r>
      <w:r w:rsidRPr="00167FFA">
        <w:rPr>
          <w:rFonts w:ascii="仿宋" w:eastAsia="仿宋" w:hAnsi="仿宋" w:hint="eastAsia"/>
          <w:sz w:val="32"/>
          <w:szCs w:val="32"/>
        </w:rPr>
        <w:t>项目在涵养水源、保持水土，防止泥沙流失，调节气候，改善城市生态环境、净化空气等方面有巨大效益。工程建成后，将有效的改善本项目区及邻近地区的生态环境，抑制自然灾害，减少水土流失，促进生态平衡，改善生态环境，对维护良好的城市环境将起到重要作用，形成一个绿色、优美的生态系统，进一步发展皋兰山生态旅游观光产业。</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4．可持续影响指标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hint="eastAsia"/>
          <w:sz w:val="32"/>
          <w:szCs w:val="32"/>
        </w:rPr>
        <w:t>通过项目实施，加快完成了设备更新，大幅度提高了科学院科研效率，强化创新能力建设，加强科技成果产出及科技成果转</w:t>
      </w:r>
      <w:r w:rsidRPr="00167FFA">
        <w:rPr>
          <w:rFonts w:ascii="仿宋" w:eastAsia="仿宋" w:hAnsi="仿宋" w:hint="eastAsia"/>
          <w:sz w:val="32"/>
          <w:szCs w:val="32"/>
        </w:rPr>
        <w:lastRenderedPageBreak/>
        <w:t>化进程；建成一系列高水平新技术研发基地、试验示范基地、优秀人才培养基地和国内外学术交流基地，推动我省创新能力提升。对项目单位的促进作用显著，项目实施对地区经济社会发展能力的支撑作用显著。</w:t>
      </w:r>
    </w:p>
    <w:p w:rsidR="005472BD" w:rsidRDefault="004D6A10">
      <w:pPr>
        <w:spacing w:line="600" w:lineRule="exact"/>
        <w:ind w:firstLineChars="200" w:firstLine="560"/>
        <w:jc w:val="center"/>
        <w:rPr>
          <w:sz w:val="28"/>
          <w:szCs w:val="28"/>
        </w:rPr>
      </w:pPr>
      <w:r>
        <w:rPr>
          <w:rFonts w:hint="eastAsia"/>
          <w:sz w:val="28"/>
          <w:szCs w:val="28"/>
        </w:rPr>
        <w:t>表</w:t>
      </w:r>
      <w:r>
        <w:rPr>
          <w:rFonts w:hint="eastAsia"/>
          <w:sz w:val="28"/>
          <w:szCs w:val="28"/>
        </w:rPr>
        <w:t xml:space="preserve">4-6 </w:t>
      </w:r>
      <w:r>
        <w:rPr>
          <w:rFonts w:hint="eastAsia"/>
          <w:sz w:val="28"/>
          <w:szCs w:val="28"/>
        </w:rPr>
        <w:t>生态效益指标完成情况对比表</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83"/>
        <w:gridCol w:w="1837"/>
        <w:gridCol w:w="1819"/>
      </w:tblGrid>
      <w:tr w:rsidR="005472BD">
        <w:trPr>
          <w:trHeight w:val="669"/>
        </w:trPr>
        <w:tc>
          <w:tcPr>
            <w:tcW w:w="5283" w:type="dxa"/>
            <w:shd w:val="clear" w:color="auto" w:fill="4F81BD"/>
            <w:tcMar>
              <w:top w:w="15" w:type="dxa"/>
              <w:left w:w="15" w:type="dxa"/>
              <w:right w:w="15" w:type="dxa"/>
            </w:tcMar>
            <w:vAlign w:val="center"/>
          </w:tcPr>
          <w:p w:rsidR="005472BD" w:rsidRDefault="004D6A10">
            <w:pPr>
              <w:widowControl/>
              <w:spacing w:line="600" w:lineRule="exact"/>
              <w:jc w:val="center"/>
              <w:textAlignment w:val="center"/>
              <w:rPr>
                <w:rFonts w:eastAsia="宋体" w:cs="宋体"/>
                <w:b/>
                <w:bCs/>
                <w:color w:val="FFFFFF" w:themeColor="background1"/>
                <w:kern w:val="0"/>
                <w:sz w:val="24"/>
              </w:rPr>
            </w:pPr>
            <w:r>
              <w:rPr>
                <w:rFonts w:eastAsia="宋体" w:cs="宋体" w:hint="eastAsia"/>
                <w:b/>
                <w:bCs/>
                <w:color w:val="FFFFFF" w:themeColor="background1"/>
                <w:kern w:val="0"/>
                <w:sz w:val="24"/>
              </w:rPr>
              <w:t>指标</w:t>
            </w:r>
          </w:p>
        </w:tc>
        <w:tc>
          <w:tcPr>
            <w:tcW w:w="1837" w:type="dxa"/>
            <w:shd w:val="clear" w:color="auto" w:fill="4F81BD"/>
            <w:tcMar>
              <w:top w:w="15" w:type="dxa"/>
              <w:left w:w="15" w:type="dxa"/>
              <w:right w:w="15" w:type="dxa"/>
            </w:tcMar>
            <w:vAlign w:val="center"/>
          </w:tcPr>
          <w:p w:rsidR="005472BD" w:rsidRDefault="004D6A10">
            <w:pPr>
              <w:widowControl/>
              <w:spacing w:line="600" w:lineRule="exact"/>
              <w:jc w:val="center"/>
              <w:textAlignment w:val="center"/>
              <w:rPr>
                <w:rFonts w:eastAsia="宋体" w:cs="宋体"/>
                <w:b/>
                <w:bCs/>
                <w:color w:val="FFFFFF" w:themeColor="background1"/>
                <w:kern w:val="0"/>
                <w:sz w:val="24"/>
              </w:rPr>
            </w:pPr>
            <w:r>
              <w:rPr>
                <w:rFonts w:eastAsia="宋体" w:cs="宋体" w:hint="eastAsia"/>
                <w:b/>
                <w:bCs/>
                <w:color w:val="FFFFFF" w:themeColor="background1"/>
                <w:kern w:val="0"/>
                <w:sz w:val="24"/>
              </w:rPr>
              <w:t>年度指标值</w:t>
            </w:r>
          </w:p>
        </w:tc>
        <w:tc>
          <w:tcPr>
            <w:tcW w:w="1819" w:type="dxa"/>
            <w:shd w:val="clear" w:color="auto" w:fill="4F81BD"/>
            <w:tcMar>
              <w:top w:w="15" w:type="dxa"/>
              <w:left w:w="15" w:type="dxa"/>
              <w:right w:w="15" w:type="dxa"/>
            </w:tcMar>
            <w:vAlign w:val="center"/>
          </w:tcPr>
          <w:p w:rsidR="005472BD" w:rsidRDefault="004D6A10">
            <w:pPr>
              <w:widowControl/>
              <w:spacing w:line="600" w:lineRule="exact"/>
              <w:jc w:val="center"/>
              <w:textAlignment w:val="center"/>
              <w:rPr>
                <w:rFonts w:eastAsia="宋体" w:cs="宋体"/>
                <w:b/>
                <w:bCs/>
                <w:color w:val="FFFFFF" w:themeColor="background1"/>
                <w:kern w:val="0"/>
                <w:sz w:val="24"/>
              </w:rPr>
            </w:pPr>
            <w:r>
              <w:rPr>
                <w:rFonts w:eastAsia="宋体" w:cs="宋体" w:hint="eastAsia"/>
                <w:b/>
                <w:bCs/>
                <w:color w:val="FFFFFF" w:themeColor="background1"/>
                <w:kern w:val="0"/>
                <w:sz w:val="24"/>
              </w:rPr>
              <w:t>实际完成值</w:t>
            </w:r>
          </w:p>
        </w:tc>
      </w:tr>
      <w:tr w:rsidR="005472BD">
        <w:trPr>
          <w:trHeight w:val="608"/>
        </w:trPr>
        <w:tc>
          <w:tcPr>
            <w:tcW w:w="5283" w:type="dxa"/>
            <w:shd w:val="clear" w:color="auto" w:fill="FFFFFF"/>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项目实施对项目单位的促进作用</w:t>
            </w:r>
          </w:p>
        </w:tc>
        <w:tc>
          <w:tcPr>
            <w:tcW w:w="1837" w:type="dxa"/>
            <w:shd w:val="clear" w:color="auto" w:fill="FFFFFF"/>
            <w:tcMar>
              <w:top w:w="15" w:type="dxa"/>
              <w:left w:w="15" w:type="dxa"/>
              <w:right w:w="15" w:type="dxa"/>
            </w:tcMar>
            <w:vAlign w:val="center"/>
          </w:tcPr>
          <w:p w:rsidR="005472BD" w:rsidRDefault="004D6A10">
            <w:pPr>
              <w:widowControl/>
              <w:spacing w:line="600" w:lineRule="exact"/>
              <w:jc w:val="center"/>
              <w:textAlignment w:val="center"/>
              <w:rPr>
                <w:rFonts w:eastAsia="宋体" w:cs="宋体"/>
                <w:color w:val="000000"/>
                <w:kern w:val="0"/>
                <w:sz w:val="24"/>
              </w:rPr>
            </w:pPr>
            <w:r>
              <w:rPr>
                <w:rFonts w:eastAsia="宋体" w:cs="宋体" w:hint="eastAsia"/>
                <w:color w:val="000000"/>
                <w:kern w:val="0"/>
                <w:sz w:val="24"/>
              </w:rPr>
              <w:t>显著</w:t>
            </w:r>
          </w:p>
        </w:tc>
        <w:tc>
          <w:tcPr>
            <w:tcW w:w="1819" w:type="dxa"/>
            <w:shd w:val="clear" w:color="auto" w:fill="FFFFFF"/>
            <w:tcMar>
              <w:top w:w="15" w:type="dxa"/>
              <w:left w:w="15" w:type="dxa"/>
              <w:right w:w="15" w:type="dxa"/>
            </w:tcMar>
            <w:vAlign w:val="center"/>
          </w:tcPr>
          <w:p w:rsidR="005472BD" w:rsidRDefault="004D6A10">
            <w:pPr>
              <w:widowControl/>
              <w:spacing w:line="600" w:lineRule="exact"/>
              <w:jc w:val="center"/>
              <w:textAlignment w:val="center"/>
              <w:rPr>
                <w:rFonts w:eastAsia="宋体" w:cs="宋体"/>
                <w:color w:val="000000"/>
                <w:kern w:val="0"/>
                <w:sz w:val="24"/>
              </w:rPr>
            </w:pPr>
            <w:r>
              <w:rPr>
                <w:rFonts w:eastAsia="宋体" w:cs="宋体" w:hint="eastAsia"/>
                <w:color w:val="000000"/>
                <w:kern w:val="0"/>
                <w:sz w:val="24"/>
              </w:rPr>
              <w:t>显著</w:t>
            </w:r>
          </w:p>
        </w:tc>
      </w:tr>
      <w:tr w:rsidR="005472BD">
        <w:trPr>
          <w:trHeight w:val="679"/>
        </w:trPr>
        <w:tc>
          <w:tcPr>
            <w:tcW w:w="5283" w:type="dxa"/>
            <w:shd w:val="clear" w:color="auto" w:fill="FFFFFF"/>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项目实施对地区经济社会发展能力的支撑作用</w:t>
            </w:r>
          </w:p>
        </w:tc>
        <w:tc>
          <w:tcPr>
            <w:tcW w:w="1837" w:type="dxa"/>
            <w:shd w:val="clear" w:color="auto" w:fill="FFFFFF"/>
            <w:tcMar>
              <w:top w:w="15" w:type="dxa"/>
              <w:left w:w="15" w:type="dxa"/>
              <w:right w:w="15" w:type="dxa"/>
            </w:tcMar>
            <w:vAlign w:val="center"/>
          </w:tcPr>
          <w:p w:rsidR="005472BD" w:rsidRDefault="004D6A10">
            <w:pPr>
              <w:widowControl/>
              <w:spacing w:line="600" w:lineRule="exact"/>
              <w:jc w:val="center"/>
              <w:textAlignment w:val="center"/>
              <w:rPr>
                <w:rFonts w:eastAsia="宋体" w:cs="宋体"/>
                <w:color w:val="000000"/>
                <w:kern w:val="0"/>
                <w:sz w:val="24"/>
              </w:rPr>
            </w:pPr>
            <w:r>
              <w:rPr>
                <w:rFonts w:eastAsia="宋体" w:cs="宋体" w:hint="eastAsia"/>
                <w:color w:val="000000"/>
                <w:kern w:val="0"/>
                <w:sz w:val="24"/>
              </w:rPr>
              <w:t>显著</w:t>
            </w:r>
          </w:p>
        </w:tc>
        <w:tc>
          <w:tcPr>
            <w:tcW w:w="1819" w:type="dxa"/>
            <w:shd w:val="clear" w:color="auto" w:fill="FFFFFF"/>
            <w:tcMar>
              <w:top w:w="15" w:type="dxa"/>
              <w:left w:w="15" w:type="dxa"/>
              <w:right w:w="15" w:type="dxa"/>
            </w:tcMar>
            <w:vAlign w:val="center"/>
          </w:tcPr>
          <w:p w:rsidR="005472BD" w:rsidRDefault="004D6A10">
            <w:pPr>
              <w:widowControl/>
              <w:spacing w:line="600" w:lineRule="exact"/>
              <w:jc w:val="center"/>
              <w:textAlignment w:val="center"/>
              <w:rPr>
                <w:rFonts w:eastAsia="宋体" w:cs="宋体"/>
                <w:color w:val="000000"/>
                <w:kern w:val="0"/>
                <w:sz w:val="24"/>
              </w:rPr>
            </w:pPr>
            <w:r>
              <w:rPr>
                <w:rFonts w:eastAsia="宋体" w:cs="宋体" w:hint="eastAsia"/>
                <w:color w:val="000000"/>
                <w:kern w:val="0"/>
                <w:sz w:val="24"/>
              </w:rPr>
              <w:t>显著</w:t>
            </w:r>
          </w:p>
        </w:tc>
      </w:tr>
    </w:tbl>
    <w:p w:rsidR="005472BD" w:rsidRPr="00167FFA" w:rsidRDefault="004D6A10" w:rsidP="00167FFA">
      <w:pPr>
        <w:spacing w:line="600" w:lineRule="exact"/>
        <w:ind w:firstLineChars="200" w:firstLine="643"/>
        <w:rPr>
          <w:rFonts w:ascii="仿宋" w:eastAsia="仿宋" w:hAnsi="仿宋"/>
          <w:sz w:val="32"/>
          <w:szCs w:val="32"/>
        </w:rPr>
      </w:pPr>
      <w:r w:rsidRPr="00167FFA">
        <w:rPr>
          <w:rFonts w:ascii="仿宋" w:eastAsia="仿宋" w:hAnsi="仿宋" w:hint="eastAsia"/>
          <w:b/>
          <w:bCs/>
          <w:sz w:val="32"/>
          <w:szCs w:val="32"/>
        </w:rPr>
        <w:t>白银分院承担的“白银分院设备购置费”</w:t>
      </w:r>
      <w:r w:rsidRPr="00167FFA">
        <w:rPr>
          <w:rFonts w:ascii="仿宋" w:eastAsia="仿宋" w:hAnsi="仿宋" w:hint="eastAsia"/>
          <w:sz w:val="32"/>
          <w:szCs w:val="32"/>
        </w:rPr>
        <w:t>依托甘肃省科学院纳米应用技术研究室和其他支撑单位，面向表面工程、生物农药、纳米高效农业、纳米超级合金、纳米硅太阳能应用等五个研究方向的研究和成果转化推广工作，建设白银分院（白银市实创高新产业研究院）的科研平台，推动甘肃省科学院的科技成果在白银地区的产品化和产业化进度，为白银市产业发展提供人才和技术支撑，促进地方社会经济发展。</w:t>
      </w:r>
    </w:p>
    <w:p w:rsidR="005472BD" w:rsidRPr="00167FFA" w:rsidRDefault="004D6A10" w:rsidP="00167FFA">
      <w:pPr>
        <w:spacing w:line="600" w:lineRule="exact"/>
        <w:ind w:firstLineChars="200" w:firstLine="643"/>
        <w:outlineLvl w:val="2"/>
        <w:rPr>
          <w:rFonts w:ascii="仿宋" w:eastAsia="仿宋" w:hAnsi="仿宋" w:cs="华文楷体"/>
          <w:b/>
          <w:bCs/>
          <w:sz w:val="32"/>
          <w:szCs w:val="32"/>
        </w:rPr>
      </w:pPr>
      <w:r w:rsidRPr="00167FFA">
        <w:rPr>
          <w:rFonts w:ascii="仿宋" w:eastAsia="仿宋" w:hAnsi="仿宋" w:cs="华文楷体" w:hint="eastAsia"/>
          <w:b/>
          <w:bCs/>
          <w:sz w:val="32"/>
          <w:szCs w:val="32"/>
        </w:rPr>
        <w:t>5．满意度指标</w:t>
      </w:r>
    </w:p>
    <w:p w:rsidR="005472BD" w:rsidRPr="00167FFA" w:rsidRDefault="004D6A10" w:rsidP="00167FFA">
      <w:pPr>
        <w:spacing w:line="600" w:lineRule="exact"/>
        <w:ind w:firstLineChars="200" w:firstLine="640"/>
        <w:rPr>
          <w:rFonts w:ascii="仿宋" w:eastAsia="仿宋" w:hAnsi="仿宋"/>
          <w:sz w:val="32"/>
          <w:szCs w:val="32"/>
        </w:rPr>
      </w:pPr>
      <w:r w:rsidRPr="00167FFA">
        <w:rPr>
          <w:rFonts w:ascii="仿宋" w:eastAsia="仿宋" w:hAnsi="仿宋" w:cs="仿宋_GB2312" w:hint="eastAsia"/>
          <w:sz w:val="32"/>
          <w:szCs w:val="32"/>
        </w:rPr>
        <w:t>根据各项目单位提交的自评材料，在企业服务工作中的满意度调查及单位从事相关工作科研人员的满意度调查结果分析得到</w:t>
      </w:r>
      <w:r w:rsidRPr="00167FFA">
        <w:rPr>
          <w:rFonts w:ascii="仿宋" w:eastAsia="仿宋" w:hAnsi="仿宋" w:hint="eastAsia"/>
          <w:sz w:val="32"/>
          <w:szCs w:val="32"/>
        </w:rPr>
        <w:t>项目实施过程中整体满意度达到了预期指标值，被服务企业满意度非常满意，从事相关工作科研人员满意度非常满意。</w:t>
      </w:r>
    </w:p>
    <w:p w:rsidR="005472BD" w:rsidRDefault="004D6A10">
      <w:pPr>
        <w:spacing w:line="600" w:lineRule="exact"/>
        <w:ind w:firstLineChars="200" w:firstLine="560"/>
        <w:jc w:val="center"/>
      </w:pPr>
      <w:r>
        <w:rPr>
          <w:sz w:val="28"/>
          <w:szCs w:val="28"/>
        </w:rPr>
        <w:t>表</w:t>
      </w:r>
      <w:r>
        <w:rPr>
          <w:sz w:val="28"/>
          <w:szCs w:val="28"/>
        </w:rPr>
        <w:t>4-</w:t>
      </w:r>
      <w:r>
        <w:rPr>
          <w:rFonts w:hint="eastAsia"/>
          <w:sz w:val="28"/>
          <w:szCs w:val="28"/>
        </w:rPr>
        <w:t>7</w:t>
      </w:r>
      <w:r>
        <w:rPr>
          <w:sz w:val="28"/>
          <w:szCs w:val="28"/>
        </w:rPr>
        <w:t xml:space="preserve"> </w:t>
      </w:r>
      <w:r>
        <w:rPr>
          <w:sz w:val="28"/>
          <w:szCs w:val="28"/>
        </w:rPr>
        <w:t>满意度指标完成情况对比表</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84"/>
        <w:gridCol w:w="22"/>
        <w:gridCol w:w="1812"/>
        <w:gridCol w:w="1762"/>
        <w:gridCol w:w="39"/>
      </w:tblGrid>
      <w:tr w:rsidR="005472BD">
        <w:trPr>
          <w:trHeight w:val="669"/>
        </w:trPr>
        <w:tc>
          <w:tcPr>
            <w:tcW w:w="5306" w:type="dxa"/>
            <w:gridSpan w:val="2"/>
            <w:shd w:val="clear" w:color="auto" w:fill="4F81BD"/>
            <w:tcMar>
              <w:top w:w="15" w:type="dxa"/>
              <w:left w:w="15" w:type="dxa"/>
              <w:right w:w="15" w:type="dxa"/>
            </w:tcMar>
            <w:vAlign w:val="center"/>
          </w:tcPr>
          <w:p w:rsidR="005472BD" w:rsidRDefault="004D6A10">
            <w:pPr>
              <w:widowControl/>
              <w:ind w:firstLineChars="100" w:firstLine="241"/>
              <w:jc w:val="center"/>
              <w:textAlignment w:val="center"/>
              <w:rPr>
                <w:rFonts w:eastAsia="宋体" w:cs="宋体"/>
                <w:b/>
                <w:bCs/>
                <w:color w:val="FFFFFF" w:themeColor="background1"/>
                <w:kern w:val="0"/>
                <w:sz w:val="24"/>
              </w:rPr>
            </w:pPr>
            <w:r>
              <w:rPr>
                <w:rFonts w:eastAsia="宋体" w:cs="宋体" w:hint="eastAsia"/>
                <w:b/>
                <w:bCs/>
                <w:color w:val="FFFFFF" w:themeColor="background1"/>
                <w:kern w:val="0"/>
                <w:sz w:val="24"/>
              </w:rPr>
              <w:lastRenderedPageBreak/>
              <w:t>指标</w:t>
            </w:r>
          </w:p>
        </w:tc>
        <w:tc>
          <w:tcPr>
            <w:tcW w:w="1812" w:type="dxa"/>
            <w:shd w:val="clear" w:color="auto" w:fill="4F81BD"/>
            <w:tcMar>
              <w:top w:w="15" w:type="dxa"/>
              <w:left w:w="15" w:type="dxa"/>
              <w:right w:w="15" w:type="dxa"/>
            </w:tcMar>
            <w:vAlign w:val="center"/>
          </w:tcPr>
          <w:p w:rsidR="005472BD" w:rsidRDefault="004D6A10">
            <w:pPr>
              <w:widowControl/>
              <w:ind w:firstLineChars="100" w:firstLine="241"/>
              <w:jc w:val="center"/>
              <w:textAlignment w:val="center"/>
              <w:rPr>
                <w:rFonts w:eastAsia="宋体" w:cs="宋体"/>
                <w:b/>
                <w:bCs/>
                <w:color w:val="FFFFFF" w:themeColor="background1"/>
                <w:kern w:val="0"/>
                <w:sz w:val="24"/>
              </w:rPr>
            </w:pPr>
            <w:r>
              <w:rPr>
                <w:rFonts w:eastAsia="宋体" w:cs="宋体" w:hint="eastAsia"/>
                <w:b/>
                <w:bCs/>
                <w:color w:val="FFFFFF" w:themeColor="background1"/>
                <w:kern w:val="0"/>
                <w:sz w:val="24"/>
              </w:rPr>
              <w:t>年度指标值</w:t>
            </w:r>
          </w:p>
        </w:tc>
        <w:tc>
          <w:tcPr>
            <w:tcW w:w="1801" w:type="dxa"/>
            <w:gridSpan w:val="2"/>
            <w:shd w:val="clear" w:color="auto" w:fill="4F81BD"/>
            <w:tcMar>
              <w:top w:w="15" w:type="dxa"/>
              <w:left w:w="15" w:type="dxa"/>
              <w:right w:w="15" w:type="dxa"/>
            </w:tcMar>
            <w:vAlign w:val="center"/>
          </w:tcPr>
          <w:p w:rsidR="005472BD" w:rsidRDefault="004D6A10">
            <w:pPr>
              <w:widowControl/>
              <w:ind w:firstLineChars="100" w:firstLine="241"/>
              <w:jc w:val="center"/>
              <w:textAlignment w:val="center"/>
              <w:rPr>
                <w:rFonts w:eastAsia="宋体" w:cs="宋体"/>
                <w:b/>
                <w:bCs/>
                <w:color w:val="FFFFFF" w:themeColor="background1"/>
                <w:kern w:val="0"/>
                <w:sz w:val="24"/>
              </w:rPr>
            </w:pPr>
            <w:r>
              <w:rPr>
                <w:rFonts w:eastAsia="宋体" w:cs="宋体" w:hint="eastAsia"/>
                <w:b/>
                <w:bCs/>
                <w:color w:val="FFFFFF" w:themeColor="background1"/>
                <w:kern w:val="0"/>
                <w:sz w:val="24"/>
              </w:rPr>
              <w:t>实际完成值</w:t>
            </w:r>
          </w:p>
        </w:tc>
      </w:tr>
      <w:tr w:rsidR="005472B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39" w:type="dxa"/>
          <w:trHeight w:val="669"/>
        </w:trPr>
        <w:tc>
          <w:tcPr>
            <w:tcW w:w="52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被服务企业满意度</w:t>
            </w:r>
          </w:p>
        </w:tc>
        <w:tc>
          <w:tcPr>
            <w:tcW w:w="183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非常满意</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非常满意</w:t>
            </w:r>
          </w:p>
        </w:tc>
      </w:tr>
      <w:tr w:rsidR="005472B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39" w:type="dxa"/>
          <w:trHeight w:val="680"/>
        </w:trPr>
        <w:tc>
          <w:tcPr>
            <w:tcW w:w="52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从事相关工作科研人员满意度</w:t>
            </w:r>
          </w:p>
        </w:tc>
        <w:tc>
          <w:tcPr>
            <w:tcW w:w="183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非常满意</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472BD" w:rsidRDefault="004D6A10">
            <w:pPr>
              <w:widowControl/>
              <w:ind w:firstLineChars="100" w:firstLine="240"/>
              <w:textAlignment w:val="center"/>
              <w:rPr>
                <w:rFonts w:eastAsia="宋体" w:cs="宋体"/>
                <w:color w:val="000000"/>
                <w:kern w:val="0"/>
                <w:sz w:val="24"/>
              </w:rPr>
            </w:pPr>
            <w:r>
              <w:rPr>
                <w:rFonts w:eastAsia="宋体" w:cs="宋体" w:hint="eastAsia"/>
                <w:color w:val="000000"/>
                <w:kern w:val="0"/>
                <w:sz w:val="24"/>
              </w:rPr>
              <w:t>非常满意</w:t>
            </w:r>
          </w:p>
        </w:tc>
      </w:tr>
    </w:tbl>
    <w:p w:rsidR="005472BD" w:rsidRPr="00167FFA" w:rsidRDefault="004D6A10" w:rsidP="00652FA5">
      <w:pPr>
        <w:spacing w:line="600" w:lineRule="exact"/>
        <w:ind w:firstLineChars="200" w:firstLine="643"/>
        <w:rPr>
          <w:rFonts w:ascii="仿宋" w:eastAsia="仿宋" w:hAnsi="仿宋"/>
          <w:sz w:val="32"/>
          <w:szCs w:val="32"/>
        </w:rPr>
      </w:pPr>
      <w:r w:rsidRPr="00167FFA">
        <w:rPr>
          <w:rFonts w:ascii="仿宋" w:eastAsia="仿宋" w:hAnsi="仿宋"/>
          <w:b/>
          <w:bCs/>
          <w:sz w:val="32"/>
          <w:szCs w:val="32"/>
        </w:rPr>
        <w:t>自动化研究所</w:t>
      </w:r>
      <w:r w:rsidRPr="00167FFA">
        <w:rPr>
          <w:rFonts w:ascii="仿宋" w:eastAsia="仿宋" w:hAnsi="仿宋" w:hint="eastAsia"/>
          <w:b/>
          <w:bCs/>
          <w:sz w:val="32"/>
          <w:szCs w:val="32"/>
        </w:rPr>
        <w:t>承担的“智慧博物馆相关技术研发与示范应用”</w:t>
      </w:r>
      <w:r w:rsidRPr="00167FFA">
        <w:rPr>
          <w:rFonts w:ascii="仿宋" w:eastAsia="仿宋" w:hAnsi="仿宋" w:hint="eastAsia"/>
          <w:sz w:val="32"/>
          <w:szCs w:val="32"/>
        </w:rPr>
        <w:t>项目已在多家文博单位开展文物数字化相关应用，其中与甘肃省博物馆共建“文化遗产数字化保护与呈现技术创新实验室”，共同推进文物数字化标准建设；在兰州市博物馆开展文物数字化工程的过程中同时建设文物活态化展示应用，联合获得国家文物局中华文明+互联网项目。项目成果于2019年兰州旅游博览会期间在甘肃省会展中心进行了专场展示和推广，获得了兰州市相关领导和参观群众的一致好评。</w:t>
      </w:r>
    </w:p>
    <w:p w:rsidR="005472BD" w:rsidRPr="00167FFA" w:rsidRDefault="004D6A10" w:rsidP="00003238">
      <w:pPr>
        <w:spacing w:beforeLines="100" w:afterLines="100" w:line="600" w:lineRule="exact"/>
        <w:ind w:firstLineChars="200" w:firstLine="640"/>
        <w:outlineLvl w:val="0"/>
        <w:rPr>
          <w:rFonts w:ascii="仿宋" w:eastAsia="仿宋" w:hAnsi="仿宋"/>
          <w:sz w:val="32"/>
          <w:szCs w:val="32"/>
        </w:rPr>
      </w:pPr>
      <w:bookmarkStart w:id="33" w:name="_Toc7565"/>
      <w:r w:rsidRPr="00167FFA">
        <w:rPr>
          <w:rFonts w:ascii="仿宋" w:eastAsia="仿宋" w:hAnsi="仿宋" w:hint="eastAsia"/>
          <w:sz w:val="32"/>
          <w:szCs w:val="32"/>
        </w:rPr>
        <w:t>五、主要经验及做法、存在的问题及原因分析</w:t>
      </w:r>
      <w:bookmarkEnd w:id="33"/>
    </w:p>
    <w:p w:rsidR="005472BD" w:rsidRPr="00167FFA" w:rsidRDefault="004D6A10" w:rsidP="00652FA5">
      <w:pPr>
        <w:spacing w:line="600" w:lineRule="exact"/>
        <w:ind w:firstLineChars="200" w:firstLine="643"/>
        <w:outlineLvl w:val="1"/>
        <w:rPr>
          <w:rFonts w:ascii="仿宋" w:eastAsia="仿宋" w:hAnsi="仿宋"/>
          <w:b/>
          <w:bCs/>
          <w:sz w:val="32"/>
          <w:szCs w:val="32"/>
        </w:rPr>
      </w:pPr>
      <w:bookmarkStart w:id="34" w:name="_Toc2914"/>
      <w:r w:rsidRPr="00167FFA">
        <w:rPr>
          <w:rFonts w:ascii="仿宋" w:eastAsia="仿宋" w:hAnsi="仿宋" w:hint="eastAsia"/>
          <w:b/>
          <w:bCs/>
          <w:sz w:val="32"/>
          <w:szCs w:val="32"/>
        </w:rPr>
        <w:t>（一）主要经验及做法</w:t>
      </w:r>
      <w:bookmarkEnd w:id="34"/>
    </w:p>
    <w:p w:rsidR="005472BD" w:rsidRPr="00167FFA" w:rsidRDefault="004D6A10" w:rsidP="00652FA5">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1</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管理机制健全</w:t>
      </w:r>
    </w:p>
    <w:p w:rsidR="005472BD" w:rsidRPr="00167FFA" w:rsidRDefault="004D6A10" w:rsidP="00652FA5">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sz w:val="32"/>
          <w:szCs w:val="32"/>
        </w:rPr>
        <w:t>甘肃省科学院建立了项目管理制度，进一步规范、细化了专项资金项目的管理，对项目资金使用、组织实施和结题等进行了规定，为项目的顺利实施提供了制度保障。项目资金坚持层层审批原则，做到操作程序规范，严格按照项目任务书经费支出预算的安排，确保了资金使用安全和最大效益的发挥。同时，设立专门账户，保障项目严格、透明、顺利的实施。</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lastRenderedPageBreak/>
        <w:t>2</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重视监督检查</w:t>
      </w:r>
    </w:p>
    <w:p w:rsidR="005472BD" w:rsidRPr="00167FFA" w:rsidRDefault="004D6A10" w:rsidP="00167FFA">
      <w:pPr>
        <w:spacing w:line="600" w:lineRule="exact"/>
        <w:ind w:firstLineChars="200" w:firstLine="640"/>
        <w:rPr>
          <w:rFonts w:ascii="仿宋" w:eastAsia="仿宋" w:hAnsi="仿宋" w:cs="仿宋_GB2312"/>
          <w:snapToGrid w:val="0"/>
          <w:sz w:val="32"/>
          <w:szCs w:val="32"/>
        </w:rPr>
      </w:pPr>
      <w:r w:rsidRPr="00167FFA">
        <w:rPr>
          <w:rFonts w:ascii="仿宋" w:eastAsia="仿宋" w:hAnsi="仿宋" w:cs="仿宋_GB2312" w:hint="eastAsia"/>
          <w:snapToGrid w:val="0"/>
          <w:sz w:val="32"/>
          <w:szCs w:val="32"/>
        </w:rPr>
        <w:t>甘肃省科学院对项目与资金的监督检查，采取定期检查、不定期抽查等方式，开展中期检查评估、财务检查审计等监督举措，及时总结项目实施经验与做法，发现存在的问题和不足，纠正绩效偏差，进一步规范和改进项目与资金的管理，并将监督检查结果作为下一年度项目安排的基础依据。项目承担单位制定考核标准，推进项目实施，每一个团队本着促进课题又好又快推进的目标，按照项目进度计划，督促各项目负责人带领实验人员按期完成目标。</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3</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注重过程管理</w:t>
      </w:r>
    </w:p>
    <w:p w:rsidR="005472BD" w:rsidRPr="00167FFA" w:rsidRDefault="004D6A10" w:rsidP="00167FFA">
      <w:pPr>
        <w:spacing w:line="600" w:lineRule="exact"/>
        <w:ind w:firstLineChars="200" w:firstLine="640"/>
        <w:rPr>
          <w:rFonts w:ascii="仿宋" w:eastAsia="仿宋" w:hAnsi="仿宋" w:cs="仿宋_GB2312"/>
          <w:snapToGrid w:val="0"/>
          <w:sz w:val="32"/>
          <w:szCs w:val="32"/>
        </w:rPr>
      </w:pPr>
      <w:r w:rsidRPr="00167FFA">
        <w:rPr>
          <w:rFonts w:ascii="仿宋" w:eastAsia="仿宋" w:hAnsi="仿宋" w:cs="仿宋_GB2312" w:hint="eastAsia"/>
          <w:snapToGrid w:val="0"/>
          <w:sz w:val="32"/>
          <w:szCs w:val="32"/>
        </w:rPr>
        <w:t>甘肃省科学院注重做好项目的过程管理和痕迹管理，建立了项目档案管理制度，保存规划及实施方案编制、专家评审、立项及资金安排、项目中期检查等环节信息，对视频与会议评审等关键环节录音拍照。组织召开项目启动会、项目论证会、研讨会、座谈会等，并邀请科研、财务专家参与，增强项目单位对专项资金的理解和认识，强化主体责任，扎实推进项目。</w:t>
      </w:r>
    </w:p>
    <w:p w:rsidR="005472BD" w:rsidRPr="00167FFA" w:rsidRDefault="004D6A10" w:rsidP="00167FFA">
      <w:pPr>
        <w:spacing w:line="600" w:lineRule="exact"/>
        <w:ind w:firstLineChars="200" w:firstLine="643"/>
        <w:outlineLvl w:val="1"/>
        <w:rPr>
          <w:rFonts w:ascii="仿宋" w:eastAsia="仿宋" w:hAnsi="仿宋"/>
          <w:b/>
          <w:bCs/>
          <w:sz w:val="32"/>
          <w:szCs w:val="32"/>
        </w:rPr>
      </w:pPr>
      <w:bookmarkStart w:id="35" w:name="_Toc27460"/>
      <w:r w:rsidRPr="00167FFA">
        <w:rPr>
          <w:rFonts w:ascii="仿宋" w:eastAsia="仿宋" w:hAnsi="仿宋" w:hint="eastAsia"/>
          <w:b/>
          <w:bCs/>
          <w:sz w:val="32"/>
          <w:szCs w:val="32"/>
        </w:rPr>
        <w:t>（二）存在的问题及原因</w:t>
      </w:r>
      <w:bookmarkEnd w:id="35"/>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1</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存在的问题</w:t>
      </w:r>
    </w:p>
    <w:p w:rsidR="005472BD" w:rsidRPr="00167FFA" w:rsidRDefault="004D6A10" w:rsidP="00167FFA">
      <w:pPr>
        <w:spacing w:line="600" w:lineRule="exact"/>
        <w:ind w:firstLineChars="200" w:firstLine="643"/>
        <w:rPr>
          <w:rFonts w:ascii="仿宋" w:eastAsia="仿宋" w:hAnsi="仿宋" w:cs="仿宋_GB2312"/>
          <w:snapToGrid w:val="0"/>
          <w:sz w:val="32"/>
          <w:szCs w:val="32"/>
        </w:rPr>
      </w:pPr>
      <w:r w:rsidRPr="00167FFA">
        <w:rPr>
          <w:rFonts w:ascii="仿宋" w:eastAsia="仿宋" w:hAnsi="仿宋" w:cs="仿宋_GB2312" w:hint="eastAsia"/>
          <w:b/>
          <w:bCs/>
          <w:snapToGrid w:val="0"/>
          <w:sz w:val="32"/>
          <w:szCs w:val="32"/>
        </w:rPr>
        <w:t>专项资金整体执行率偏低。</w:t>
      </w:r>
      <w:r w:rsidRPr="00167FFA">
        <w:rPr>
          <w:rFonts w:ascii="仿宋" w:eastAsia="仿宋" w:hAnsi="仿宋" w:cs="仿宋_GB2312" w:hint="eastAsia"/>
          <w:snapToGrid w:val="0"/>
          <w:sz w:val="32"/>
          <w:szCs w:val="32"/>
        </w:rPr>
        <w:t>截至5月25日，财政专项资金的预算执行率为41.85%，整体执行进度缓慢，其中，有4个项目执行率低于20%。部分项目承担单位未按任务书内容和相关制</w:t>
      </w:r>
      <w:r w:rsidRPr="00167FFA">
        <w:rPr>
          <w:rFonts w:ascii="仿宋" w:eastAsia="仿宋" w:hAnsi="仿宋" w:cs="仿宋_GB2312" w:hint="eastAsia"/>
          <w:snapToGrid w:val="0"/>
          <w:sz w:val="32"/>
          <w:szCs w:val="32"/>
        </w:rPr>
        <w:lastRenderedPageBreak/>
        <w:t>度提前筹划，存在项目经费预算执行率较低，资金处于应付未付状况现象，导致任务指标完成度低，未达到预期效果。</w:t>
      </w:r>
    </w:p>
    <w:p w:rsidR="005472BD" w:rsidRPr="00167FFA" w:rsidRDefault="004D6A10" w:rsidP="00167FFA">
      <w:pPr>
        <w:spacing w:line="600" w:lineRule="exact"/>
        <w:ind w:firstLineChars="200" w:firstLine="643"/>
        <w:rPr>
          <w:rFonts w:ascii="仿宋" w:eastAsia="仿宋" w:hAnsi="仿宋" w:cs="仿宋_GB2312"/>
          <w:snapToGrid w:val="0"/>
          <w:sz w:val="32"/>
          <w:szCs w:val="32"/>
        </w:rPr>
      </w:pPr>
      <w:r w:rsidRPr="00167FFA">
        <w:rPr>
          <w:rFonts w:ascii="仿宋" w:eastAsia="仿宋" w:hAnsi="仿宋" w:cs="仿宋_GB2312" w:hint="eastAsia"/>
          <w:b/>
          <w:bCs/>
          <w:snapToGrid w:val="0"/>
          <w:color w:val="0C0C0C"/>
          <w:sz w:val="32"/>
          <w:szCs w:val="32"/>
        </w:rPr>
        <w:t>资金预算管理还存在欠缺。</w:t>
      </w:r>
      <w:r w:rsidRPr="00167FFA">
        <w:rPr>
          <w:rFonts w:ascii="仿宋" w:eastAsia="仿宋" w:hAnsi="仿宋" w:cs="仿宋_GB2312" w:hint="eastAsia"/>
          <w:snapToGrid w:val="0"/>
          <w:sz w:val="32"/>
          <w:szCs w:val="32"/>
        </w:rPr>
        <w:t>项目预算管理不够严谨，项目年度预算不够细化，在科学安排预算资金、务实谋划预算项目等方面还需进一步加强管理。</w:t>
      </w:r>
    </w:p>
    <w:p w:rsidR="005472BD" w:rsidRPr="00167FFA" w:rsidRDefault="004D6A10" w:rsidP="00167FFA">
      <w:pPr>
        <w:spacing w:line="600" w:lineRule="exact"/>
        <w:ind w:firstLineChars="200" w:firstLine="643"/>
        <w:rPr>
          <w:rFonts w:ascii="仿宋" w:eastAsia="仿宋" w:hAnsi="仿宋" w:cs="仿宋_GB2312"/>
          <w:snapToGrid w:val="0"/>
          <w:sz w:val="32"/>
          <w:szCs w:val="32"/>
        </w:rPr>
      </w:pPr>
      <w:r w:rsidRPr="00167FFA">
        <w:rPr>
          <w:rFonts w:ascii="仿宋" w:eastAsia="仿宋" w:hAnsi="仿宋" w:cs="仿宋_GB2312" w:hint="eastAsia"/>
          <w:b/>
          <w:bCs/>
          <w:snapToGrid w:val="0"/>
          <w:sz w:val="32"/>
          <w:szCs w:val="32"/>
        </w:rPr>
        <w:t>统筹推进机制有待加强。</w:t>
      </w:r>
      <w:r w:rsidRPr="00167FFA">
        <w:rPr>
          <w:rFonts w:ascii="仿宋" w:eastAsia="仿宋" w:hAnsi="仿宋" w:cs="仿宋_GB2312" w:hint="eastAsia"/>
          <w:snapToGrid w:val="0"/>
          <w:sz w:val="32"/>
          <w:szCs w:val="32"/>
        </w:rPr>
        <w:t>部分项目实施环节衔接不够紧密，在项目执行过程中因为不可预见因素出现小范围变更情况，导致项目执行受阻，需进一步建立工作统筹推进机制。</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2</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原因分析</w:t>
      </w:r>
    </w:p>
    <w:p w:rsidR="005472BD" w:rsidRPr="00167FFA" w:rsidRDefault="004D6A10" w:rsidP="00167FFA">
      <w:pPr>
        <w:spacing w:line="600" w:lineRule="exact"/>
        <w:ind w:firstLineChars="200" w:firstLine="643"/>
        <w:rPr>
          <w:rFonts w:ascii="仿宋" w:eastAsia="仿宋" w:hAnsi="仿宋" w:cs="仿宋_GB2312"/>
          <w:snapToGrid w:val="0"/>
          <w:sz w:val="32"/>
          <w:szCs w:val="32"/>
        </w:rPr>
      </w:pPr>
      <w:r w:rsidRPr="00167FFA">
        <w:rPr>
          <w:rFonts w:ascii="仿宋" w:eastAsia="仿宋" w:hAnsi="仿宋" w:cs="仿宋_GB2312" w:hint="eastAsia"/>
          <w:b/>
          <w:bCs/>
          <w:snapToGrid w:val="0"/>
          <w:sz w:val="32"/>
          <w:szCs w:val="32"/>
        </w:rPr>
        <w:t>项目实施周期短。</w:t>
      </w:r>
      <w:r w:rsidRPr="00167FFA">
        <w:rPr>
          <w:rFonts w:ascii="仿宋" w:eastAsia="仿宋" w:hAnsi="仿宋" w:cs="仿宋_GB2312" w:hint="eastAsia"/>
          <w:snapToGrid w:val="0"/>
          <w:sz w:val="32"/>
          <w:szCs w:val="32"/>
        </w:rPr>
        <w:t>科研类的项目，一般都是3年以上的执行期。项目执行的第一年，多为项目的准备和开始执行阶段，第二年才是经费支出最多且具体执行的关键时间。所以，执行期的第一年，支出不会占太高的比例，且按照科研项目的正常规律，不会有具体的成果体现，比如论文、专利等。</w:t>
      </w:r>
    </w:p>
    <w:p w:rsidR="005472BD" w:rsidRPr="00167FFA" w:rsidRDefault="004D6A10" w:rsidP="00167FFA">
      <w:pPr>
        <w:spacing w:line="600" w:lineRule="exact"/>
        <w:ind w:firstLineChars="200" w:firstLine="643"/>
        <w:rPr>
          <w:rFonts w:ascii="仿宋" w:eastAsia="仿宋" w:hAnsi="仿宋" w:cs="仿宋_GB2312"/>
          <w:snapToGrid w:val="0"/>
          <w:sz w:val="32"/>
          <w:szCs w:val="32"/>
        </w:rPr>
      </w:pPr>
      <w:r w:rsidRPr="00167FFA">
        <w:rPr>
          <w:rFonts w:ascii="仿宋" w:eastAsia="仿宋" w:hAnsi="仿宋" w:cs="仿宋_GB2312" w:hint="eastAsia"/>
          <w:b/>
          <w:bCs/>
          <w:snapToGrid w:val="0"/>
          <w:sz w:val="32"/>
          <w:szCs w:val="32"/>
        </w:rPr>
        <w:t>设备采购周期长。</w:t>
      </w:r>
      <w:r w:rsidRPr="00167FFA">
        <w:rPr>
          <w:rFonts w:ascii="仿宋" w:eastAsia="仿宋" w:hAnsi="仿宋" w:cs="仿宋_GB2312" w:hint="eastAsia"/>
          <w:snapToGrid w:val="0"/>
          <w:sz w:val="32"/>
          <w:szCs w:val="32"/>
        </w:rPr>
        <w:t>大型仪器设备的采购周期长、手续繁杂、中间环节的不可控因素较多。2019年项目的设备购置，一般需要2020年的固定资产预算下达后才能执行，因此实际执行上多延迟一年的时间。</w:t>
      </w:r>
    </w:p>
    <w:p w:rsidR="005472BD" w:rsidRDefault="004D6A10" w:rsidP="00167FFA">
      <w:pPr>
        <w:spacing w:line="600" w:lineRule="exact"/>
        <w:ind w:firstLineChars="200" w:firstLine="643"/>
        <w:rPr>
          <w:rFonts w:ascii="仿宋_GB2312" w:hAnsi="仿宋_GB2312" w:cs="仿宋_GB2312"/>
          <w:snapToGrid w:val="0"/>
          <w:szCs w:val="30"/>
        </w:rPr>
      </w:pPr>
      <w:r w:rsidRPr="00167FFA">
        <w:rPr>
          <w:rFonts w:ascii="仿宋" w:eastAsia="仿宋" w:hAnsi="仿宋" w:cs="仿宋_GB2312"/>
          <w:b/>
          <w:bCs/>
          <w:snapToGrid w:val="0"/>
          <w:sz w:val="32"/>
          <w:szCs w:val="32"/>
        </w:rPr>
        <w:t>疫情影响比较明显</w:t>
      </w:r>
      <w:r w:rsidRPr="00167FFA">
        <w:rPr>
          <w:rFonts w:ascii="仿宋" w:eastAsia="仿宋" w:hAnsi="仿宋" w:cs="仿宋_GB2312" w:hint="eastAsia"/>
          <w:b/>
          <w:bCs/>
          <w:snapToGrid w:val="0"/>
          <w:sz w:val="32"/>
          <w:szCs w:val="32"/>
        </w:rPr>
        <w:t>。</w:t>
      </w:r>
      <w:r w:rsidRPr="00167FFA">
        <w:rPr>
          <w:rFonts w:ascii="仿宋" w:eastAsia="仿宋" w:hAnsi="仿宋" w:cs="仿宋_GB2312" w:hint="eastAsia"/>
          <w:snapToGrid w:val="0"/>
          <w:sz w:val="32"/>
          <w:szCs w:val="32"/>
        </w:rPr>
        <w:t>因2020年疫情影响，部分国外设备的采购出现了延误，国内外学术交流活动受到了限制，项目实地调研受到了约束，导致项目未能按计划进行，绩效目标完成情况</w:t>
      </w:r>
      <w:r>
        <w:rPr>
          <w:rFonts w:ascii="仿宋_GB2312" w:hAnsi="仿宋_GB2312" w:cs="仿宋_GB2312" w:hint="eastAsia"/>
          <w:snapToGrid w:val="0"/>
          <w:szCs w:val="30"/>
        </w:rPr>
        <w:t>未</w:t>
      </w:r>
      <w:r>
        <w:rPr>
          <w:rFonts w:ascii="仿宋_GB2312" w:hAnsi="仿宋_GB2312" w:cs="仿宋_GB2312" w:hint="eastAsia"/>
          <w:snapToGrid w:val="0"/>
          <w:szCs w:val="30"/>
        </w:rPr>
        <w:lastRenderedPageBreak/>
        <w:t>能达到预期值。</w:t>
      </w:r>
    </w:p>
    <w:p w:rsidR="005472BD" w:rsidRPr="00167FFA" w:rsidRDefault="004D6A10" w:rsidP="00003238">
      <w:pPr>
        <w:spacing w:beforeLines="100" w:afterLines="100" w:line="600" w:lineRule="exact"/>
        <w:ind w:firstLineChars="200" w:firstLine="640"/>
        <w:outlineLvl w:val="0"/>
        <w:rPr>
          <w:rFonts w:ascii="仿宋" w:eastAsia="仿宋" w:hAnsi="仿宋" w:cs="仿宋_GB2312"/>
          <w:snapToGrid w:val="0"/>
          <w:color w:val="0C0C0C"/>
          <w:sz w:val="32"/>
          <w:szCs w:val="32"/>
        </w:rPr>
      </w:pPr>
      <w:bookmarkStart w:id="36" w:name="_Toc20392"/>
      <w:r w:rsidRPr="00167FFA">
        <w:rPr>
          <w:rFonts w:ascii="仿宋" w:eastAsia="仿宋" w:hAnsi="仿宋" w:hint="eastAsia"/>
          <w:sz w:val="32"/>
          <w:szCs w:val="32"/>
        </w:rPr>
        <w:t>六、下一步改进建议</w:t>
      </w:r>
      <w:bookmarkEnd w:id="36"/>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1</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加强资金督导服务</w:t>
      </w:r>
    </w:p>
    <w:p w:rsidR="005472BD" w:rsidRPr="00167FFA" w:rsidRDefault="004D6A10" w:rsidP="00167FFA">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color w:val="0C0C0C"/>
          <w:sz w:val="32"/>
          <w:szCs w:val="32"/>
        </w:rPr>
        <w:t>督促各项目承担单位进一步加大相关政策培训力度，加大对财务人员、科研财务助理、科研人员等相关人员的培训力度，准确把握政策精神，使科研人员“会花钱”、“敢花钱”又不“乱花钱”。在绩效目标执行过程中及时纠偏，督促项目承担单位按期完成预算执行，确保项目实施取得实效。</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2</w:t>
      </w:r>
      <w:r w:rsidRPr="00167FFA">
        <w:rPr>
          <w:rFonts w:ascii="仿宋" w:eastAsia="仿宋" w:hAnsi="仿宋" w:cs="华文楷体" w:hint="eastAsia"/>
          <w:b/>
          <w:bCs/>
          <w:snapToGrid w:val="0"/>
          <w:sz w:val="32"/>
          <w:szCs w:val="32"/>
          <w:lang w:val="zh-CN"/>
        </w:rPr>
        <w:t>．进一步</w:t>
      </w:r>
      <w:r w:rsidRPr="00167FFA">
        <w:rPr>
          <w:rFonts w:ascii="仿宋" w:eastAsia="仿宋" w:hAnsi="仿宋" w:cs="华文楷体" w:hint="eastAsia"/>
          <w:b/>
          <w:bCs/>
          <w:snapToGrid w:val="0"/>
          <w:sz w:val="32"/>
          <w:szCs w:val="32"/>
        </w:rPr>
        <w:t>规范专项资金的管理</w:t>
      </w:r>
    </w:p>
    <w:p w:rsidR="005472BD" w:rsidRPr="00167FFA" w:rsidRDefault="004D6A10" w:rsidP="00167FFA">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color w:val="0C0C0C"/>
          <w:sz w:val="32"/>
          <w:szCs w:val="32"/>
        </w:rPr>
        <w:t>进一步加强和规范财政专项资金管理，改变财政资金“重分配、轻管理，重投入、轻绩效”的倾向，解决财政资金到位不及时，切实保障财政资金安全，提高财政资金使用效益，发挥财政专项资金效益最大化。</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3</w:t>
      </w:r>
      <w:r w:rsidRPr="00167FFA">
        <w:rPr>
          <w:rFonts w:ascii="仿宋" w:eastAsia="仿宋" w:hAnsi="仿宋" w:cs="华文楷体" w:hint="eastAsia"/>
          <w:b/>
          <w:bCs/>
          <w:snapToGrid w:val="0"/>
          <w:sz w:val="32"/>
          <w:szCs w:val="32"/>
          <w:lang w:val="zh-CN"/>
        </w:rPr>
        <w:t>．减少重复评价、</w:t>
      </w:r>
      <w:r w:rsidRPr="00167FFA">
        <w:rPr>
          <w:rFonts w:ascii="仿宋" w:eastAsia="仿宋" w:hAnsi="仿宋" w:cs="华文楷体" w:hint="eastAsia"/>
          <w:b/>
          <w:bCs/>
          <w:snapToGrid w:val="0"/>
          <w:sz w:val="32"/>
          <w:szCs w:val="32"/>
        </w:rPr>
        <w:t>精简过程检查</w:t>
      </w:r>
    </w:p>
    <w:p w:rsidR="005472BD" w:rsidRPr="00167FFA" w:rsidRDefault="004D6A10" w:rsidP="00167FFA">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color w:val="0C0C0C"/>
          <w:sz w:val="32"/>
          <w:szCs w:val="32"/>
        </w:rPr>
        <w:t>建议每年在一个适当的时间采取一次绩效评价，整合精简各类报表、减少信息填报和材料报送、精简过程检查，赋予科研人员更大技术路线决策权等多项务实举措，充分激发科研人员创新活力，切实减轻科研人员负担。</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4</w:t>
      </w:r>
      <w:r w:rsidRPr="00167FFA">
        <w:rPr>
          <w:rFonts w:ascii="仿宋" w:eastAsia="仿宋" w:hAnsi="仿宋" w:cs="华文楷体" w:hint="eastAsia"/>
          <w:b/>
          <w:bCs/>
          <w:snapToGrid w:val="0"/>
          <w:sz w:val="32"/>
          <w:szCs w:val="32"/>
          <w:lang w:val="zh-CN"/>
        </w:rPr>
        <w:t>．</w:t>
      </w:r>
      <w:r w:rsidRPr="00167FFA">
        <w:rPr>
          <w:rFonts w:ascii="仿宋" w:eastAsia="仿宋" w:hAnsi="仿宋" w:cs="华文楷体" w:hint="eastAsia"/>
          <w:b/>
          <w:bCs/>
          <w:snapToGrid w:val="0"/>
          <w:sz w:val="32"/>
          <w:szCs w:val="32"/>
        </w:rPr>
        <w:t>强化统筹安排，确保任务按计划完成</w:t>
      </w:r>
    </w:p>
    <w:p w:rsidR="005472BD" w:rsidRPr="00167FFA" w:rsidRDefault="004D6A10" w:rsidP="00167FFA">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color w:val="0C0C0C"/>
          <w:sz w:val="32"/>
          <w:szCs w:val="32"/>
        </w:rPr>
        <w:t>建议项目实施单位重视统筹安排，依据项目特点，坚持“有所为，有所不为”的原则，对项目实施前期、中期、后期全过程</w:t>
      </w:r>
      <w:r w:rsidRPr="00167FFA">
        <w:rPr>
          <w:rFonts w:ascii="仿宋" w:eastAsia="仿宋" w:hAnsi="仿宋" w:cs="仿宋_GB2312" w:hint="eastAsia"/>
          <w:snapToGrid w:val="0"/>
          <w:color w:val="0C0C0C"/>
          <w:sz w:val="32"/>
          <w:szCs w:val="32"/>
        </w:rPr>
        <w:lastRenderedPageBreak/>
        <w:t>统筹规划，争取循序渐进，稳步实施，确保项目按原计划完成目标任务。</w:t>
      </w:r>
    </w:p>
    <w:p w:rsidR="005472BD" w:rsidRPr="00167FFA" w:rsidRDefault="004D6A10" w:rsidP="00003238">
      <w:pPr>
        <w:spacing w:beforeLines="100" w:afterLines="100" w:line="600" w:lineRule="exact"/>
        <w:ind w:firstLineChars="200" w:firstLine="640"/>
        <w:outlineLvl w:val="0"/>
        <w:rPr>
          <w:rFonts w:ascii="仿宋" w:eastAsia="仿宋" w:hAnsi="仿宋"/>
          <w:sz w:val="32"/>
          <w:szCs w:val="32"/>
        </w:rPr>
      </w:pPr>
      <w:bookmarkStart w:id="37" w:name="_Toc21970"/>
      <w:r w:rsidRPr="00167FFA">
        <w:rPr>
          <w:rFonts w:ascii="仿宋" w:eastAsia="仿宋" w:hAnsi="仿宋" w:hint="eastAsia"/>
          <w:sz w:val="32"/>
          <w:szCs w:val="32"/>
        </w:rPr>
        <w:t>七、其他需要说明的问题</w:t>
      </w:r>
      <w:bookmarkEnd w:id="37"/>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1．加快推进各项建设任务</w:t>
      </w:r>
    </w:p>
    <w:p w:rsidR="005472BD" w:rsidRPr="00167FFA" w:rsidRDefault="004D6A10" w:rsidP="00167FFA">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color w:val="0C0C0C"/>
          <w:sz w:val="32"/>
          <w:szCs w:val="32"/>
        </w:rPr>
        <w:t>严格按照项目实施计划，加快推进各项建设任务实施，确保2019年度专项资金项目保质保量完成。</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2．持续推进人才培养工作</w:t>
      </w:r>
    </w:p>
    <w:p w:rsidR="005472BD" w:rsidRPr="00167FFA" w:rsidRDefault="004D6A10" w:rsidP="00167FFA">
      <w:pPr>
        <w:spacing w:line="600" w:lineRule="exact"/>
        <w:ind w:firstLineChars="200" w:firstLine="640"/>
        <w:rPr>
          <w:rFonts w:ascii="仿宋" w:eastAsia="仿宋" w:hAnsi="仿宋" w:cs="仿宋_GB2312"/>
          <w:snapToGrid w:val="0"/>
          <w:color w:val="0C0C0C"/>
          <w:sz w:val="32"/>
          <w:szCs w:val="32"/>
        </w:rPr>
      </w:pPr>
      <w:r w:rsidRPr="00167FFA">
        <w:rPr>
          <w:rFonts w:ascii="仿宋" w:eastAsia="仿宋" w:hAnsi="仿宋" w:cs="仿宋_GB2312" w:hint="eastAsia"/>
          <w:snapToGrid w:val="0"/>
          <w:color w:val="0C0C0C"/>
          <w:sz w:val="32"/>
          <w:szCs w:val="32"/>
        </w:rPr>
        <w:t>省科学院需更加重视人才队伍建设，完善全院人才培养和引进计划，提高人才引进的质量和效率，真正做到“人才强院”。一方面，可通过努力营造良好的内外环境，加大领军人才引进力度，利用各种途径积极引进优秀人才。另一方面，积极做好现有人才队伍的培养，稳定青年中层次人才，创造各种条件加速青年人才的成长。</w:t>
      </w:r>
    </w:p>
    <w:p w:rsidR="005472BD" w:rsidRPr="00167FFA" w:rsidRDefault="004D6A10" w:rsidP="00167FFA">
      <w:pPr>
        <w:spacing w:line="600" w:lineRule="exact"/>
        <w:ind w:firstLineChars="200" w:firstLine="643"/>
        <w:outlineLvl w:val="2"/>
        <w:rPr>
          <w:rFonts w:ascii="仿宋" w:eastAsia="仿宋" w:hAnsi="仿宋" w:cs="华文楷体"/>
          <w:b/>
          <w:bCs/>
          <w:snapToGrid w:val="0"/>
          <w:sz w:val="32"/>
          <w:szCs w:val="32"/>
        </w:rPr>
      </w:pPr>
      <w:r w:rsidRPr="00167FFA">
        <w:rPr>
          <w:rFonts w:ascii="仿宋" w:eastAsia="仿宋" w:hAnsi="仿宋" w:cs="华文楷体" w:hint="eastAsia"/>
          <w:b/>
          <w:bCs/>
          <w:snapToGrid w:val="0"/>
          <w:sz w:val="32"/>
          <w:szCs w:val="32"/>
        </w:rPr>
        <w:t>3．进一步整合现有资源</w:t>
      </w:r>
    </w:p>
    <w:p w:rsidR="005472BD" w:rsidRDefault="004D6A10" w:rsidP="00167FFA">
      <w:pPr>
        <w:spacing w:line="600" w:lineRule="exact"/>
        <w:ind w:firstLineChars="200" w:firstLine="640"/>
        <w:rPr>
          <w:rFonts w:ascii="仿宋_GB2312" w:hAnsi="仿宋_GB2312" w:cs="仿宋_GB2312"/>
          <w:snapToGrid w:val="0"/>
          <w:color w:val="0C0C0C"/>
          <w:szCs w:val="30"/>
        </w:rPr>
      </w:pPr>
      <w:r w:rsidRPr="00167FFA">
        <w:rPr>
          <w:rFonts w:ascii="仿宋" w:eastAsia="仿宋" w:hAnsi="仿宋" w:cs="仿宋_GB2312" w:hint="eastAsia"/>
          <w:snapToGrid w:val="0"/>
          <w:color w:val="0C0C0C"/>
          <w:sz w:val="32"/>
          <w:szCs w:val="32"/>
        </w:rPr>
        <w:t>充分利用人员、设备及基础设施条件，进一步整合现有资源，加强服务手段和科研创新力度，扩大专项资金的社会经济影响力</w:t>
      </w:r>
      <w:r>
        <w:rPr>
          <w:rFonts w:ascii="仿宋_GB2312" w:hAnsi="仿宋_GB2312" w:cs="仿宋_GB2312" w:hint="eastAsia"/>
          <w:snapToGrid w:val="0"/>
          <w:color w:val="0C0C0C"/>
          <w:szCs w:val="30"/>
        </w:rPr>
        <w:t>。</w:t>
      </w:r>
    </w:p>
    <w:sectPr w:rsidR="005472BD" w:rsidSect="00167FFA">
      <w:footerReference w:type="default" r:id="rId55"/>
      <w:pgSz w:w="11900" w:h="16838"/>
      <w:pgMar w:top="1984" w:right="1531" w:bottom="1701" w:left="1531" w:header="851" w:footer="992"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3F0" w:rsidRDefault="002013F0" w:rsidP="005472BD">
      <w:r>
        <w:separator/>
      </w:r>
    </w:p>
  </w:endnote>
  <w:endnote w:type="continuationSeparator" w:id="1">
    <w:p w:rsidR="002013F0" w:rsidRDefault="002013F0" w:rsidP="005472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156" w:rsidRDefault="00CD21E7">
    <w:pPr>
      <w:pStyle w:val="a4"/>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filled="f" stroked="f" strokeweight=".5pt">
          <v:textbox style="mso-fit-shape-to-text:t" inset="0,0,0,0">
            <w:txbxContent>
              <w:sdt>
                <w:sdtPr>
                  <w:id w:val="-757977770"/>
                </w:sdtPr>
                <w:sdtContent>
                  <w:p w:rsidR="00613156" w:rsidRDefault="00CD21E7">
                    <w:pPr>
                      <w:pStyle w:val="a4"/>
                      <w:jc w:val="center"/>
                    </w:pPr>
                    <w:fldSimple w:instr="PAGE   \* MERGEFORMAT">
                      <w:r w:rsidR="00ED6526" w:rsidRPr="00ED6526">
                        <w:rPr>
                          <w:noProof/>
                          <w:lang w:val="zh-CN"/>
                        </w:rPr>
                        <w:t>1</w:t>
                      </w:r>
                    </w:fldSimple>
                  </w:p>
                </w:sdtContent>
              </w:sdt>
              <w:p w:rsidR="00613156" w:rsidRDefault="00613156"/>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156" w:rsidRDefault="00CD21E7">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613156" w:rsidRDefault="00CD21E7">
                <w:pPr>
                  <w:pStyle w:val="a4"/>
                  <w:rPr>
                    <w:sz w:val="24"/>
                  </w:rPr>
                </w:pPr>
                <w:r>
                  <w:rPr>
                    <w:rFonts w:hint="eastAsia"/>
                    <w:sz w:val="24"/>
                  </w:rPr>
                  <w:fldChar w:fldCharType="begin"/>
                </w:r>
                <w:r w:rsidR="00613156">
                  <w:rPr>
                    <w:rFonts w:hint="eastAsia"/>
                    <w:sz w:val="24"/>
                  </w:rPr>
                  <w:instrText xml:space="preserve"> PAGE  \* MERGEFORMAT </w:instrText>
                </w:r>
                <w:r>
                  <w:rPr>
                    <w:rFonts w:hint="eastAsia"/>
                    <w:sz w:val="24"/>
                  </w:rPr>
                  <w:fldChar w:fldCharType="separate"/>
                </w:r>
                <w:r w:rsidR="00003238">
                  <w:rPr>
                    <w:noProof/>
                    <w:sz w:val="24"/>
                  </w:rPr>
                  <w:t>77</w:t>
                </w:r>
                <w:r>
                  <w:rPr>
                    <w:rFonts w:hint="eastAsia"/>
                    <w:sz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3F0" w:rsidRDefault="002013F0" w:rsidP="005472BD">
      <w:r>
        <w:separator/>
      </w:r>
    </w:p>
  </w:footnote>
  <w:footnote w:type="continuationSeparator" w:id="1">
    <w:p w:rsidR="002013F0" w:rsidRDefault="002013F0" w:rsidP="005472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1331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3238"/>
    <w:rsid w:val="00061A23"/>
    <w:rsid w:val="00167FFA"/>
    <w:rsid w:val="00172A27"/>
    <w:rsid w:val="002013F0"/>
    <w:rsid w:val="004D6A10"/>
    <w:rsid w:val="005472BD"/>
    <w:rsid w:val="00600417"/>
    <w:rsid w:val="00613156"/>
    <w:rsid w:val="00652FA5"/>
    <w:rsid w:val="006A0403"/>
    <w:rsid w:val="008A1367"/>
    <w:rsid w:val="00A3336C"/>
    <w:rsid w:val="00AD646F"/>
    <w:rsid w:val="00B22D03"/>
    <w:rsid w:val="00B53D06"/>
    <w:rsid w:val="00C56842"/>
    <w:rsid w:val="00CD21E7"/>
    <w:rsid w:val="00DE52C5"/>
    <w:rsid w:val="00DE6DF1"/>
    <w:rsid w:val="00DF3EFE"/>
    <w:rsid w:val="00EC5694"/>
    <w:rsid w:val="00ED5009"/>
    <w:rsid w:val="00ED6526"/>
    <w:rsid w:val="01FA0C9D"/>
    <w:rsid w:val="02896EEA"/>
    <w:rsid w:val="02F35EA0"/>
    <w:rsid w:val="052C5662"/>
    <w:rsid w:val="07104C73"/>
    <w:rsid w:val="075C63B1"/>
    <w:rsid w:val="09B5271B"/>
    <w:rsid w:val="0B347920"/>
    <w:rsid w:val="0C136020"/>
    <w:rsid w:val="10FF7E14"/>
    <w:rsid w:val="13757E63"/>
    <w:rsid w:val="13CD4F4E"/>
    <w:rsid w:val="152803AA"/>
    <w:rsid w:val="16364049"/>
    <w:rsid w:val="16AB3B44"/>
    <w:rsid w:val="1CEB76A6"/>
    <w:rsid w:val="1D154D9E"/>
    <w:rsid w:val="1D577425"/>
    <w:rsid w:val="1F5B37D6"/>
    <w:rsid w:val="204C5517"/>
    <w:rsid w:val="20624121"/>
    <w:rsid w:val="219D4F49"/>
    <w:rsid w:val="245D302F"/>
    <w:rsid w:val="24CD14C3"/>
    <w:rsid w:val="26476279"/>
    <w:rsid w:val="279A2E2C"/>
    <w:rsid w:val="285448DA"/>
    <w:rsid w:val="28E03B4B"/>
    <w:rsid w:val="2A4A4FD4"/>
    <w:rsid w:val="2A99746A"/>
    <w:rsid w:val="2CCB0116"/>
    <w:rsid w:val="2DE70D47"/>
    <w:rsid w:val="2E0A1FD6"/>
    <w:rsid w:val="31E45EC9"/>
    <w:rsid w:val="327E4B31"/>
    <w:rsid w:val="3792182E"/>
    <w:rsid w:val="37AA68EF"/>
    <w:rsid w:val="3911568F"/>
    <w:rsid w:val="39707FBA"/>
    <w:rsid w:val="39A01D31"/>
    <w:rsid w:val="3BE66CC4"/>
    <w:rsid w:val="3FCE47B0"/>
    <w:rsid w:val="3FD269E1"/>
    <w:rsid w:val="40500796"/>
    <w:rsid w:val="45FA658D"/>
    <w:rsid w:val="46583C6E"/>
    <w:rsid w:val="468779C2"/>
    <w:rsid w:val="481B2CDC"/>
    <w:rsid w:val="495111AF"/>
    <w:rsid w:val="4E7B6FA7"/>
    <w:rsid w:val="51BD3E55"/>
    <w:rsid w:val="52C37690"/>
    <w:rsid w:val="52CD7919"/>
    <w:rsid w:val="536F1D32"/>
    <w:rsid w:val="54C04C47"/>
    <w:rsid w:val="56A83186"/>
    <w:rsid w:val="57601330"/>
    <w:rsid w:val="576D5680"/>
    <w:rsid w:val="57BA4A6A"/>
    <w:rsid w:val="5AF37431"/>
    <w:rsid w:val="5C3B6DC8"/>
    <w:rsid w:val="5C6526E1"/>
    <w:rsid w:val="5FB154A7"/>
    <w:rsid w:val="605A75FF"/>
    <w:rsid w:val="61927EB6"/>
    <w:rsid w:val="61E27139"/>
    <w:rsid w:val="64231A28"/>
    <w:rsid w:val="669F3F04"/>
    <w:rsid w:val="67BA11F5"/>
    <w:rsid w:val="68AB5E08"/>
    <w:rsid w:val="69CD6E52"/>
    <w:rsid w:val="6A023054"/>
    <w:rsid w:val="6A0833EA"/>
    <w:rsid w:val="6BDD3927"/>
    <w:rsid w:val="701C3B55"/>
    <w:rsid w:val="70D57836"/>
    <w:rsid w:val="726A7D35"/>
    <w:rsid w:val="732569E9"/>
    <w:rsid w:val="73CF3949"/>
    <w:rsid w:val="74862E2F"/>
    <w:rsid w:val="75261991"/>
    <w:rsid w:val="7A560D57"/>
    <w:rsid w:val="7DB319E9"/>
    <w:rsid w:val="7FCB01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unhideWhenUsed="1" w:qFormat="1"/>
    <w:lsdException w:name="heading 3" w:uiPriority="9" w:unhideWhenUsed="1" w:qFormat="1"/>
    <w:lsdException w:name="heading 4" w:semiHidden="1" w:unhideWhenUsed="1" w:qFormat="1"/>
    <w:lsdException w:name="heading 5" w:semiHidden="1" w:unhideWhenUsed="1"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72BD"/>
    <w:pPr>
      <w:widowControl w:val="0"/>
      <w:jc w:val="both"/>
    </w:pPr>
    <w:rPr>
      <w:rFonts w:eastAsia="仿宋_GB2312"/>
      <w:kern w:val="2"/>
      <w:sz w:val="30"/>
      <w:szCs w:val="24"/>
    </w:rPr>
  </w:style>
  <w:style w:type="paragraph" w:styleId="1">
    <w:name w:val="heading 1"/>
    <w:basedOn w:val="a"/>
    <w:next w:val="a"/>
    <w:uiPriority w:val="9"/>
    <w:qFormat/>
    <w:rsid w:val="005472BD"/>
    <w:pPr>
      <w:keepNext/>
      <w:keepLines/>
      <w:spacing w:before="340" w:after="330" w:line="578" w:lineRule="auto"/>
      <w:outlineLvl w:val="0"/>
    </w:pPr>
    <w:rPr>
      <w:b/>
      <w:bCs/>
      <w:kern w:val="44"/>
      <w:sz w:val="44"/>
      <w:szCs w:val="44"/>
    </w:rPr>
  </w:style>
  <w:style w:type="paragraph" w:styleId="2">
    <w:name w:val="heading 2"/>
    <w:basedOn w:val="a"/>
    <w:next w:val="a"/>
    <w:uiPriority w:val="99"/>
    <w:unhideWhenUsed/>
    <w:qFormat/>
    <w:rsid w:val="005472B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rsid w:val="005472BD"/>
    <w:pPr>
      <w:keepNext/>
      <w:keepLines/>
      <w:spacing w:before="260" w:after="260" w:line="416" w:lineRule="auto"/>
      <w:outlineLvl w:val="2"/>
    </w:pPr>
    <w:rPr>
      <w:b/>
      <w:bCs/>
      <w:sz w:val="32"/>
      <w:szCs w:val="32"/>
    </w:rPr>
  </w:style>
  <w:style w:type="paragraph" w:styleId="6">
    <w:name w:val="heading 6"/>
    <w:basedOn w:val="a"/>
    <w:next w:val="a"/>
    <w:uiPriority w:val="99"/>
    <w:qFormat/>
    <w:rsid w:val="005472BD"/>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5472BD"/>
    <w:rPr>
      <w:sz w:val="32"/>
    </w:rPr>
  </w:style>
  <w:style w:type="paragraph" w:styleId="a4">
    <w:name w:val="footer"/>
    <w:basedOn w:val="a"/>
    <w:qFormat/>
    <w:rsid w:val="005472BD"/>
    <w:pPr>
      <w:tabs>
        <w:tab w:val="center" w:pos="4153"/>
        <w:tab w:val="right" w:pos="8306"/>
      </w:tabs>
      <w:snapToGrid w:val="0"/>
      <w:jc w:val="left"/>
    </w:pPr>
    <w:rPr>
      <w:sz w:val="18"/>
    </w:rPr>
  </w:style>
  <w:style w:type="paragraph" w:styleId="a5">
    <w:name w:val="header"/>
    <w:basedOn w:val="a"/>
    <w:qFormat/>
    <w:rsid w:val="005472B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5472BD"/>
  </w:style>
  <w:style w:type="paragraph" w:styleId="20">
    <w:name w:val="toc 2"/>
    <w:basedOn w:val="a"/>
    <w:next w:val="a"/>
    <w:qFormat/>
    <w:rsid w:val="005472BD"/>
    <w:pPr>
      <w:ind w:leftChars="200" w:left="420"/>
    </w:pPr>
  </w:style>
  <w:style w:type="paragraph" w:styleId="a6">
    <w:name w:val="Normal (Web)"/>
    <w:basedOn w:val="a"/>
    <w:qFormat/>
    <w:rsid w:val="005472BD"/>
    <w:pPr>
      <w:jc w:val="left"/>
    </w:pPr>
    <w:rPr>
      <w:rFonts w:ascii="微软雅黑" w:eastAsia="微软雅黑" w:hAnsi="微软雅黑"/>
      <w:kern w:val="0"/>
      <w:sz w:val="24"/>
    </w:rPr>
  </w:style>
  <w:style w:type="table" w:styleId="a7">
    <w:name w:val="Table Grid"/>
    <w:basedOn w:val="a1"/>
    <w:uiPriority w:val="39"/>
    <w:qFormat/>
    <w:rsid w:val="00547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5472BD"/>
    <w:rPr>
      <w:b/>
    </w:rPr>
  </w:style>
  <w:style w:type="character" w:styleId="a9">
    <w:name w:val="FollowedHyperlink"/>
    <w:basedOn w:val="a0"/>
    <w:qFormat/>
    <w:rsid w:val="005472BD"/>
    <w:rPr>
      <w:color w:val="666666"/>
      <w:u w:val="none"/>
    </w:rPr>
  </w:style>
  <w:style w:type="character" w:styleId="aa">
    <w:name w:val="Emphasis"/>
    <w:basedOn w:val="a0"/>
    <w:qFormat/>
    <w:rsid w:val="005472BD"/>
    <w:rPr>
      <w:i/>
    </w:rPr>
  </w:style>
  <w:style w:type="character" w:styleId="ab">
    <w:name w:val="Hyperlink"/>
    <w:basedOn w:val="a0"/>
    <w:qFormat/>
    <w:rsid w:val="005472BD"/>
    <w:rPr>
      <w:color w:val="0000FF"/>
      <w:u w:val="single"/>
    </w:rPr>
  </w:style>
  <w:style w:type="character" w:customStyle="1" w:styleId="font01">
    <w:name w:val="font01"/>
    <w:basedOn w:val="a0"/>
    <w:qFormat/>
    <w:rsid w:val="005472BD"/>
    <w:rPr>
      <w:rFonts w:ascii="宋体" w:eastAsia="宋体" w:hAnsi="宋体" w:cs="宋体" w:hint="eastAsia"/>
      <w:b/>
      <w:color w:val="000000"/>
      <w:sz w:val="40"/>
      <w:szCs w:val="40"/>
      <w:u w:val="single"/>
    </w:rPr>
  </w:style>
  <w:style w:type="character" w:customStyle="1" w:styleId="font51">
    <w:name w:val="font51"/>
    <w:basedOn w:val="a0"/>
    <w:qFormat/>
    <w:rsid w:val="005472BD"/>
    <w:rPr>
      <w:rFonts w:ascii="宋体" w:eastAsia="宋体" w:hAnsi="宋体" w:cs="宋体" w:hint="eastAsia"/>
      <w:b/>
      <w:color w:val="000000"/>
      <w:sz w:val="40"/>
      <w:szCs w:val="40"/>
      <w:u w:val="none"/>
    </w:rPr>
  </w:style>
  <w:style w:type="character" w:customStyle="1" w:styleId="font31">
    <w:name w:val="font31"/>
    <w:basedOn w:val="a0"/>
    <w:qFormat/>
    <w:rsid w:val="005472BD"/>
    <w:rPr>
      <w:rFonts w:ascii="仿宋_GB2312" w:eastAsia="仿宋_GB2312" w:cs="仿宋_GB2312" w:hint="eastAsia"/>
      <w:color w:val="0C0C0C"/>
      <w:sz w:val="22"/>
      <w:szCs w:val="22"/>
      <w:u w:val="none"/>
    </w:rPr>
  </w:style>
  <w:style w:type="character" w:customStyle="1" w:styleId="font41">
    <w:name w:val="font41"/>
    <w:basedOn w:val="a0"/>
    <w:qFormat/>
    <w:rsid w:val="005472BD"/>
    <w:rPr>
      <w:rFonts w:ascii="仿宋_GB2312" w:eastAsia="仿宋_GB2312" w:cs="仿宋_GB2312" w:hint="eastAsia"/>
      <w:color w:val="000000"/>
      <w:sz w:val="22"/>
      <w:szCs w:val="22"/>
      <w:u w:val="none"/>
    </w:rPr>
  </w:style>
  <w:style w:type="paragraph" w:styleId="ac">
    <w:name w:val="List Paragraph"/>
    <w:basedOn w:val="a"/>
    <w:uiPriority w:val="99"/>
    <w:unhideWhenUsed/>
    <w:qFormat/>
    <w:rsid w:val="005472BD"/>
    <w:pPr>
      <w:ind w:firstLineChars="200" w:firstLine="420"/>
    </w:pPr>
  </w:style>
  <w:style w:type="paragraph" w:customStyle="1" w:styleId="WPSOffice1">
    <w:name w:val="WPSOffice手动目录 1"/>
    <w:qFormat/>
    <w:rsid w:val="005472BD"/>
  </w:style>
  <w:style w:type="paragraph" w:customStyle="1" w:styleId="WPSOffice2">
    <w:name w:val="WPSOffice手动目录 2"/>
    <w:qFormat/>
    <w:rsid w:val="005472BD"/>
    <w:pPr>
      <w:ind w:leftChars="200" w:left="200"/>
    </w:pPr>
  </w:style>
  <w:style w:type="character" w:customStyle="1" w:styleId="on">
    <w:name w:val="on"/>
    <w:basedOn w:val="a0"/>
    <w:qFormat/>
    <w:rsid w:val="005472BD"/>
    <w:rPr>
      <w:color w:val="FF0000"/>
    </w:rPr>
  </w:style>
  <w:style w:type="character" w:customStyle="1" w:styleId="on1">
    <w:name w:val="on1"/>
    <w:basedOn w:val="a0"/>
    <w:qFormat/>
    <w:rsid w:val="005472BD"/>
    <w:rPr>
      <w:color w:val="FF0000"/>
    </w:rPr>
  </w:style>
  <w:style w:type="character" w:customStyle="1" w:styleId="on2">
    <w:name w:val="on2"/>
    <w:basedOn w:val="a0"/>
    <w:qFormat/>
    <w:rsid w:val="005472BD"/>
  </w:style>
  <w:style w:type="character" w:customStyle="1" w:styleId="hover9">
    <w:name w:val="hover9"/>
    <w:basedOn w:val="a0"/>
    <w:qFormat/>
    <w:rsid w:val="005472BD"/>
  </w:style>
  <w:style w:type="character" w:customStyle="1" w:styleId="font11">
    <w:name w:val="font11"/>
    <w:basedOn w:val="a0"/>
    <w:qFormat/>
    <w:rsid w:val="005472BD"/>
    <w:rPr>
      <w:rFonts w:ascii="仿宋_GB2312" w:eastAsia="仿宋_GB2312" w:cs="仿宋_GB2312" w:hint="eastAsia"/>
      <w:color w:val="000000"/>
      <w:sz w:val="24"/>
      <w:szCs w:val="24"/>
      <w:u w:val="none"/>
    </w:rPr>
  </w:style>
  <w:style w:type="character" w:customStyle="1" w:styleId="font21">
    <w:name w:val="font21"/>
    <w:basedOn w:val="a0"/>
    <w:qFormat/>
    <w:rsid w:val="005472BD"/>
    <w:rPr>
      <w:rFonts w:ascii="宋体" w:eastAsia="宋体" w:hAnsi="宋体" w:cs="宋体" w:hint="eastAsia"/>
      <w:b/>
      <w:color w:val="000000"/>
      <w:sz w:val="40"/>
      <w:szCs w:val="40"/>
      <w:u w:val="single"/>
    </w:rPr>
  </w:style>
  <w:style w:type="character" w:customStyle="1" w:styleId="font61">
    <w:name w:val="font61"/>
    <w:basedOn w:val="a0"/>
    <w:qFormat/>
    <w:rsid w:val="005472BD"/>
    <w:rPr>
      <w:rFonts w:ascii="仿宋_GB2312" w:eastAsia="仿宋_GB2312" w:cs="仿宋_GB2312" w:hint="eastAsia"/>
      <w:color w:val="000000"/>
      <w:sz w:val="21"/>
      <w:szCs w:val="21"/>
      <w:u w:val="none"/>
    </w:rPr>
  </w:style>
  <w:style w:type="paragraph" w:styleId="ad">
    <w:name w:val="Balloon Text"/>
    <w:basedOn w:val="a"/>
    <w:link w:val="Char"/>
    <w:rsid w:val="00DE52C5"/>
    <w:rPr>
      <w:sz w:val="18"/>
      <w:szCs w:val="18"/>
    </w:rPr>
  </w:style>
  <w:style w:type="character" w:customStyle="1" w:styleId="Char">
    <w:name w:val="批注框文本 Char"/>
    <w:basedOn w:val="a0"/>
    <w:link w:val="ad"/>
    <w:rsid w:val="00DE52C5"/>
    <w:rPr>
      <w:rFonts w:eastAsia="仿宋_GB2312"/>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image" Target="media/image4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1185;&#23398;&#38498;&#39033;&#30446;&#32463;&#36153;&#21644;&#32489;&#25928;&#30446;&#26631;060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1185;&#23398;&#38498;&#39033;&#30446;&#32463;&#36153;&#21644;&#32489;&#25928;&#30446;&#26631;06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doughnut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Lbls>
            <c:dLbl>
              <c:idx val="0"/>
              <c:layout>
                <c:manualLayout>
                  <c:x val="0.26061670789296315"/>
                  <c:y val="-9.4943706514944687E-2"/>
                </c:manualLayout>
              </c:layout>
              <c:showCatName val="1"/>
              <c:showPercent val="1"/>
              <c:separator>
</c:separator>
              <c:extLst>
                <c:ext xmlns:c15="http://schemas.microsoft.com/office/drawing/2012/chart" uri="{CE6537A1-D6FC-4f65-9D91-7224C49458BB}">
                  <c15:layout>
                    <c:manualLayout>
                      <c:w val="0.23757589386103"/>
                      <c:h val="0.194321766561514"/>
                    </c:manualLayout>
                  </c15:layout>
                </c:ext>
              </c:extLst>
            </c:dLbl>
            <c:dLbl>
              <c:idx val="1"/>
              <c:layout>
                <c:manualLayout>
                  <c:x val="0.18958333333333352"/>
                  <c:y val="-5.5555555555555497E-2"/>
                </c:manualLayout>
              </c:layout>
              <c:showCatName val="1"/>
              <c:showPercent val="1"/>
              <c:separator>
</c:separator>
              <c:extLst>
                <c:ext xmlns:c15="http://schemas.microsoft.com/office/drawing/2012/chart" uri="{CE6537A1-D6FC-4f65-9D91-7224C49458BB}">
                  <c15:layout/>
                </c:ext>
              </c:extLst>
            </c:dLbl>
            <c:dLbl>
              <c:idx val="2"/>
              <c:layout>
                <c:manualLayout>
                  <c:x val="0.23750000000000004"/>
                  <c:y val="4.1666666666666713E-2"/>
                </c:manualLayout>
              </c:layout>
              <c:showCatName val="1"/>
              <c:showPercent val="1"/>
              <c:separator>
</c:separator>
              <c:extLst>
                <c:ext xmlns:c15="http://schemas.microsoft.com/office/drawing/2012/chart" uri="{CE6537A1-D6FC-4f65-9D91-7224C49458BB}">
                  <c15:layout/>
                </c:ext>
              </c:extLst>
            </c:dLbl>
            <c:dLbl>
              <c:idx val="3"/>
              <c:layout>
                <c:manualLayout>
                  <c:x val="-0.11835319691177601"/>
                  <c:y val="0.18904442691903339"/>
                </c:manualLayout>
              </c:layout>
              <c:showCatName val="1"/>
              <c:showPercent val="1"/>
              <c:separator>
</c:separator>
              <c:extLst>
                <c:ext xmlns:c15="http://schemas.microsoft.com/office/drawing/2012/chart" uri="{CE6537A1-D6FC-4f65-9D91-7224C49458BB}">
                  <c15:layout/>
                </c:ext>
              </c:extLst>
            </c:dLbl>
            <c:dLbl>
              <c:idx val="4"/>
              <c:layout>
                <c:manualLayout>
                  <c:x val="-0.20625000000000004"/>
                  <c:y val="3.1250000000000042E-2"/>
                </c:manualLayout>
              </c:layout>
              <c:showCatName val="1"/>
              <c:showPercent val="1"/>
              <c:separator>
</c:separator>
              <c:extLst>
                <c:ext xmlns:c15="http://schemas.microsoft.com/office/drawing/2012/chart" uri="{CE6537A1-D6FC-4f65-9D91-7224C49458BB}">
                  <c15:layout/>
                </c:ext>
              </c:extLst>
            </c:dLbl>
            <c:dLbl>
              <c:idx val="5"/>
              <c:layout>
                <c:manualLayout>
                  <c:x val="-0.204166666666667"/>
                  <c:y val="-9.0277777777777832E-2"/>
                </c:manualLayout>
              </c:layout>
              <c:showCatName val="1"/>
              <c:showPercent val="1"/>
              <c:separator>
</c:separator>
              <c:extLst>
                <c:ext xmlns:c15="http://schemas.microsoft.com/office/drawing/2012/chart" uri="{CE6537A1-D6FC-4f65-9D91-7224C49458BB}">
                  <c15:layout>
                    <c:manualLayout>
                      <c:w val="0.24016190690353"/>
                      <c:h val="0.216193480546793"/>
                    </c:manualLayout>
                  </c15:layout>
                </c:ext>
              </c:extLst>
            </c:dLbl>
            <c:dLbl>
              <c:idx val="6"/>
              <c:layout>
                <c:manualLayout>
                  <c:x val="-0.15208333333333349"/>
                  <c:y val="-0.13888888888888901"/>
                </c:manualLayout>
              </c:layout>
              <c:showCatName val="1"/>
              <c:showPercent val="1"/>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endParaRPr lang="zh-CN"/>
              </a:p>
            </c:txPr>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[科学院项目经费和绩效目标0608.xlsx]Sheet5!$I$4:$I$10</c:f>
              <c:strCache>
                <c:ptCount val="7"/>
                <c:pt idx="0">
                  <c:v>磁性器件研究所</c:v>
                </c:pt>
                <c:pt idx="1">
                  <c:v>地质自然灾害防治研究所</c:v>
                </c:pt>
                <c:pt idx="2">
                  <c:v>生物研究所</c:v>
                </c:pt>
                <c:pt idx="3">
                  <c:v>自动化研究所</c:v>
                </c:pt>
                <c:pt idx="4">
                  <c:v>后勤服务中心</c:v>
                </c:pt>
                <c:pt idx="5">
                  <c:v>传感技术研究所</c:v>
                </c:pt>
                <c:pt idx="6">
                  <c:v>实验工厂</c:v>
                </c:pt>
              </c:strCache>
            </c:strRef>
          </c:cat>
          <c:val>
            <c:numRef>
              <c:f>[科学院项目经费和绩效目标0608.xlsx]Sheet5!$J$4:$J$10</c:f>
              <c:numCache>
                <c:formatCode>General</c:formatCode>
                <c:ptCount val="7"/>
                <c:pt idx="0">
                  <c:v>3</c:v>
                </c:pt>
                <c:pt idx="1">
                  <c:v>5</c:v>
                </c:pt>
                <c:pt idx="2">
                  <c:v>8</c:v>
                </c:pt>
                <c:pt idx="3">
                  <c:v>3</c:v>
                </c:pt>
                <c:pt idx="4">
                  <c:v>1</c:v>
                </c:pt>
                <c:pt idx="5">
                  <c:v>5</c:v>
                </c:pt>
                <c:pt idx="6">
                  <c:v>3</c:v>
                </c:pt>
              </c:numCache>
            </c:numRef>
          </c:val>
        </c:ser>
        <c:dLbls>
          <c:showVal val="1"/>
        </c:dLbls>
        <c:firstSliceAng val="0"/>
        <c:holeSize val="50"/>
      </c:doughnutChart>
      <c:spPr>
        <a:noFill/>
        <a:ln>
          <a:noFill/>
        </a:ln>
        <a:effectLst/>
      </c:spPr>
    </c:plotArea>
    <c:plotVisOnly val="1"/>
    <c:dispBlanksAs val="zero"/>
  </c:chart>
  <c:spPr>
    <a:solidFill>
      <a:schemeClr val="bg1"/>
    </a:solidFill>
    <a:ln w="9525" cap="flat" cmpd="sng" algn="ctr">
      <a:no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0"/>
              <c:layout>
                <c:manualLayout>
                  <c:x val="3.3868092691622095E-2"/>
                  <c:y val="1.6025641025641E-2"/>
                </c:manualLayout>
              </c:layout>
              <c:tx>
                <c:rich>
                  <a:bodyPr/>
                  <a:lstStyle/>
                  <a:p>
                    <a:r>
                      <a:rPr sz="1200"/>
                      <a:t>博士，</a:t>
                    </a:r>
                    <a:r>
                      <a:rPr lang="en-US" altLang="zh-CN" sz="1200"/>
                      <a:t>60</a:t>
                    </a:r>
                    <a:r>
                      <a:rPr altLang="en-US" sz="1200"/>
                      <a:t>名，</a:t>
                    </a:r>
                    <a:r>
                      <a:rPr sz="1200"/>
                      <a:t>18%</a:t>
                    </a:r>
                  </a:p>
                </c:rich>
              </c:tx>
              <c:dLblPos val="bestFit"/>
              <c:showCatName val="1"/>
              <c:showPercent val="1"/>
              <c:separator>
</c:separator>
              <c:extLst>
                <c:ext xmlns:c15="http://schemas.microsoft.com/office/drawing/2012/chart" uri="{CE6537A1-D6FC-4f65-9D91-7224C49458BB}">
                  <c15:layout>
                    <c:manualLayout>
                      <c:w val="0.328817587641117"/>
                      <c:h val="0.189102564102564"/>
                    </c:manualLayout>
                  </c15:layout>
                </c:ext>
              </c:extLst>
            </c:dLbl>
            <c:dLbl>
              <c:idx val="1"/>
              <c:layout>
                <c:manualLayout>
                  <c:x val="4.0998217468805713E-2"/>
                  <c:y val="-9.6153846153846576E-2"/>
                </c:manualLayout>
              </c:layout>
              <c:tx>
                <c:rich>
                  <a:bodyPr/>
                  <a:lstStyle/>
                  <a:p>
                    <a:r>
                      <a:rPr sz="1200"/>
                      <a:t>硕士，</a:t>
                    </a:r>
                    <a:r>
                      <a:rPr lang="en-US" altLang="zh-CN" sz="1200"/>
                      <a:t>129</a:t>
                    </a:r>
                    <a:r>
                      <a:rPr altLang="en-US" sz="1200"/>
                      <a:t>名，</a:t>
                    </a:r>
                    <a:r>
                      <a:rPr sz="1200"/>
                      <a:t>39%</a:t>
                    </a:r>
                  </a:p>
                </c:rich>
              </c:tx>
              <c:dLblPos val="bestFit"/>
              <c:showCatName val="1"/>
              <c:showPercent val="1"/>
              <c:separator>
</c:separator>
              <c:extLst>
                <c:ext xmlns:c15="http://schemas.microsoft.com/office/drawing/2012/chart" uri="{CE6537A1-D6FC-4f65-9D91-7224C49458BB}">
                  <c15:layout>
                    <c:manualLayout>
                      <c:w val="0.300891265597148"/>
                      <c:h val="0.182692307692308"/>
                    </c:manualLayout>
                  </c15:layout>
                </c:ext>
              </c:extLst>
            </c:dLbl>
            <c:dLbl>
              <c:idx val="2"/>
              <c:tx>
                <c:rich>
                  <a:bodyPr/>
                  <a:lstStyle/>
                  <a:p>
                    <a:r>
                      <a:rPr sz="1200"/>
                      <a:t>本科及以下，</a:t>
                    </a:r>
                    <a:r>
                      <a:rPr lang="en-US" altLang="zh-CN" sz="1200"/>
                      <a:t>139</a:t>
                    </a:r>
                    <a:r>
                      <a:rPr altLang="en-US" sz="1200"/>
                      <a:t>名，</a:t>
                    </a:r>
                    <a:r>
                      <a:rPr sz="1200"/>
                      <a:t>43%</a:t>
                    </a:r>
                  </a:p>
                </c:rich>
              </c:tx>
              <c:dLblPos val="outEnd"/>
              <c:showCatName val="1"/>
              <c:showPercent val="1"/>
              <c:separator>
</c:separator>
              <c:extLst>
                <c:ext xmlns:c15="http://schemas.microsoft.com/office/drawing/2012/chart" uri="{CE6537A1-D6FC-4f65-9D91-7224C49458BB}">
                  <c15:layout>
                    <c:manualLayout>
                      <c:w val="0.261319073083779"/>
                      <c:h val="0.200641025641026"/>
                    </c:manualLayout>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endParaRPr lang="zh-CN"/>
              </a:p>
            </c:txPr>
            <c:dLblPos val="outEnd"/>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[科学院项目经费和绩效目标0608.xlsx]人员!$P$1:$R$1</c:f>
              <c:strCache>
                <c:ptCount val="3"/>
                <c:pt idx="0">
                  <c:v>博士</c:v>
                </c:pt>
                <c:pt idx="1">
                  <c:v>硕士</c:v>
                </c:pt>
                <c:pt idx="2">
                  <c:v>本科及以下</c:v>
                </c:pt>
              </c:strCache>
            </c:strRef>
          </c:cat>
          <c:val>
            <c:numRef>
              <c:f>[科学院项目经费和绩效目标0608.xlsx]人员!$P$2:$R$2</c:f>
              <c:numCache>
                <c:formatCode>General</c:formatCode>
                <c:ptCount val="3"/>
                <c:pt idx="0">
                  <c:v>60</c:v>
                </c:pt>
                <c:pt idx="1">
                  <c:v>129</c:v>
                </c:pt>
                <c:pt idx="2">
                  <c:v>139</c:v>
                </c:pt>
              </c:numCache>
            </c:numRef>
          </c:val>
        </c:ser>
        <c:ser>
          <c:idx val="1"/>
          <c:order val="1"/>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[科学院项目经费和绩效目标0608.xlsx]人员!$P$1:$R$1</c:f>
              <c:strCache>
                <c:ptCount val="3"/>
                <c:pt idx="0">
                  <c:v>博士</c:v>
                </c:pt>
                <c:pt idx="1">
                  <c:v>硕士</c:v>
                </c:pt>
                <c:pt idx="2">
                  <c:v>本科及以下</c:v>
                </c:pt>
              </c:strCache>
            </c:strRef>
          </c:cat>
          <c:val>
            <c:numRef>
              <c:f>[科学院项目经费和绩效目标0608.xlsx]人员!$P$3:$R$3</c:f>
              <c:numCache>
                <c:formatCode>0.00%</c:formatCode>
                <c:ptCount val="3"/>
                <c:pt idx="0">
                  <c:v>0.18292682926829301</c:v>
                </c:pt>
                <c:pt idx="1">
                  <c:v>0.39329268292682973</c:v>
                </c:pt>
                <c:pt idx="2">
                  <c:v>0.42378048780487976</c:v>
                </c:pt>
              </c:numCache>
            </c:numRef>
          </c:val>
        </c:ser>
        <c:dLbls>
          <c:showVal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77</Pages>
  <Words>4775</Words>
  <Characters>27223</Characters>
  <Application>Microsoft Office Word</Application>
  <DocSecurity>0</DocSecurity>
  <Lines>226</Lines>
  <Paragraphs>63</Paragraphs>
  <ScaleCrop>false</ScaleCrop>
  <Company/>
  <LinksUpToDate>false</LinksUpToDate>
  <CharactersWithSpaces>31935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12</cp:revision>
  <cp:lastPrinted>2020-06-29T06:31:00Z</cp:lastPrinted>
  <dcterms:created xsi:type="dcterms:W3CDTF">2020-06-08T09:06:00Z</dcterms:created>
  <dcterms:modified xsi:type="dcterms:W3CDTF">2020-08-20T01:54:00Z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